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沈阳市2023年度地质灾害防治方案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theme="minorBidi"/>
          <w:sz w:val="32"/>
          <w:szCs w:val="22"/>
          <w:lang w:val="en-US" w:eastAsia="zh-CN"/>
        </w:rPr>
      </w:pPr>
      <w:r>
        <w:rPr>
          <w:rFonts w:hint="eastAsia" w:ascii="黑体" w:hAnsi="黑体" w:eastAsia="黑体" w:cstheme="minorBidi"/>
          <w:sz w:val="32"/>
          <w:szCs w:val="22"/>
          <w:lang w:val="en-US" w:eastAsia="zh-CN"/>
        </w:rPr>
        <w:t>一、编制依据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  <w:lang w:eastAsia="zh-CN"/>
        </w:rPr>
      </w:pPr>
      <w:r>
        <w:rPr>
          <w:rFonts w:hint="eastAsia" w:ascii="仿宋" w:hAnsi="仿宋" w:eastAsia="仿宋" w:cs="Times New Roman"/>
          <w:szCs w:val="32"/>
        </w:rPr>
        <w:t>根据《地质灾害防治条例》（国务院令第</w:t>
      </w:r>
      <w:r>
        <w:rPr>
          <w:rFonts w:hint="eastAsia" w:ascii="仿宋" w:hAnsi="仿宋" w:eastAsia="仿宋" w:cs="Times New Roman"/>
          <w:szCs w:val="32"/>
          <w:lang w:val="en-US" w:eastAsia="zh-CN"/>
        </w:rPr>
        <w:t>394</w:t>
      </w:r>
      <w:r>
        <w:rPr>
          <w:rFonts w:hint="eastAsia" w:ascii="仿宋" w:hAnsi="仿宋" w:eastAsia="仿宋" w:cs="Times New Roman"/>
          <w:szCs w:val="32"/>
        </w:rPr>
        <w:t>号）第十八条</w:t>
      </w:r>
      <w:r>
        <w:rPr>
          <w:rFonts w:hint="eastAsia" w:ascii="仿宋" w:hAnsi="仿宋" w:eastAsia="仿宋" w:cs="Times New Roman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Cs w:val="32"/>
        </w:rPr>
        <w:t>县级以上地方人民政府国土资源主管部门会同同级建设、水利、交通等部门依据地质灾害防治规划，拟订年度地质灾害防治方案，报本级人民政府批准后公布</w:t>
      </w:r>
      <w:r>
        <w:rPr>
          <w:rFonts w:hint="eastAsia" w:ascii="仿宋" w:hAnsi="仿宋" w:eastAsia="仿宋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黑体" w:hAnsi="黑体" w:eastAsia="黑体" w:cstheme="minorBidi"/>
          <w:sz w:val="32"/>
          <w:szCs w:val="22"/>
          <w:lang w:val="en-US" w:eastAsia="zh-CN"/>
        </w:rPr>
      </w:pPr>
      <w:r>
        <w:rPr>
          <w:rFonts w:hint="eastAsia" w:ascii="黑体" w:hAnsi="黑体" w:eastAsia="黑体" w:cstheme="minorBidi"/>
          <w:sz w:val="32"/>
          <w:szCs w:val="2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《沈阳市202</w:t>
      </w:r>
      <w:r>
        <w:rPr>
          <w:rFonts w:hint="eastAsia" w:ascii="仿宋" w:hAnsi="仿宋" w:eastAsia="仿宋" w:cs="Times New Roman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Cs w:val="32"/>
        </w:rPr>
        <w:t>年度地质灾害防治方案》</w:t>
      </w:r>
      <w:r>
        <w:rPr>
          <w:rFonts w:hint="eastAsia" w:ascii="仿宋" w:hAnsi="仿宋" w:eastAsia="仿宋" w:cs="Times New Roman"/>
          <w:szCs w:val="32"/>
          <w:lang w:eastAsia="zh-CN"/>
        </w:rPr>
        <w:t>（以下简称《方案》）以习近平新时代中国特色社会主义思想为指导，深入学习贯彻党的二十大精神，落实 “两个坚持，三个转变”防灾减灾救灾理念，持续推动地质灾害防治“十四五”规划落地实施，全面提高我市地质灾害防治水平。《方案》</w:t>
      </w:r>
      <w:r>
        <w:rPr>
          <w:rFonts w:hint="eastAsia" w:ascii="仿宋" w:hAnsi="仿宋" w:eastAsia="仿宋" w:cs="Times New Roman"/>
          <w:szCs w:val="32"/>
        </w:rPr>
        <w:t>共分为五个主要内容，分别是总体要求、</w:t>
      </w:r>
      <w:r>
        <w:rPr>
          <w:rFonts w:hint="eastAsia" w:ascii="仿宋" w:hAnsi="仿宋" w:eastAsia="仿宋" w:cs="Times New Roman"/>
          <w:szCs w:val="32"/>
          <w:lang w:eastAsia="zh-CN"/>
        </w:rPr>
        <w:t>灾害概况</w:t>
      </w:r>
      <w:r>
        <w:rPr>
          <w:rFonts w:hint="eastAsia" w:ascii="仿宋" w:hAnsi="仿宋" w:eastAsia="仿宋" w:cs="Times New Roman"/>
          <w:szCs w:val="32"/>
        </w:rPr>
        <w:t>、趋势预测、防范重点、防治措施。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  <w:t>（一）总体</w:t>
      </w:r>
      <w:r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总体要求包含两部分，主要阐明地质灾害防治方案指导思想和年度目标任务。按照国家、省、市地质灾害防治工作部署及要求，压实各级地质灾害防治责任，建立健全地质灾害防治“四大体系”，助推地质灾害防治管理“常态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  <w:t>（二）灾害概况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截至目前，全市共查明地质灾害隐患点13处。按分布区域划分，苏家屯区地面塌陷地质灾害隐患点4处，沈北新区地面塌陷地质灾害隐患点3处、山体崩塌地质灾害隐患点2处，康平县地面塌陷地质灾害隐患点3处，法库县地面塌陷地质灾害隐患点1处。2022年全市无突发性地质灾害发生，无人员伤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  <w:t>（三）趋势预测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根据市气象局2023年全年雨量分析，预计2023年5～11月沈阳地区降水量较历年同期（554.4毫米）偏少1成左右，为475～530毫米。根据沈阳市气象局的初步预测，受降雨影响，预计2023年度地质灾害总体趋势低于历年同期。空间分布上，沈阳北部区域突发地质灾害趋势高于其他区域；时间分布上，6～8月是地质灾害的易发期，特别是7月下旬至8月上旬为最易发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  <w:t>（四）防范重点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全市共6处地质灾害重点防范区，包括5处地面塌陷地质灾害重点防范区，1处山体崩塌地质灾害重点防范区，防范区内地面塌陷和山体崩塌地质灾害隐患与采矿活动密切相关。7月下旬至8月上旬为汛期我市重点防范期。地质灾害</w:t>
      </w:r>
      <w:r>
        <w:rPr>
          <w:rFonts w:hint="eastAsia" w:ascii="仿宋" w:hAnsi="仿宋" w:eastAsia="仿宋" w:cs="Times New Roman"/>
          <w:szCs w:val="32"/>
          <w:lang w:eastAsia="zh-CN"/>
        </w:rPr>
        <w:t>防范重点对象包括</w:t>
      </w:r>
      <w:r>
        <w:rPr>
          <w:rFonts w:hint="eastAsia" w:ascii="仿宋" w:hAnsi="仿宋" w:eastAsia="仿宋" w:cs="Times New Roman"/>
          <w:szCs w:val="32"/>
        </w:rPr>
        <w:t>隐患点周边人民群众</w:t>
      </w:r>
      <w:r>
        <w:rPr>
          <w:rFonts w:hint="eastAsia" w:ascii="仿宋" w:hAnsi="仿宋" w:eastAsia="仿宋" w:cs="Times New Roman"/>
          <w:szCs w:val="32"/>
          <w:lang w:eastAsia="zh-CN"/>
        </w:rPr>
        <w:t>、建筑设施、</w:t>
      </w:r>
      <w:r>
        <w:rPr>
          <w:rFonts w:hint="eastAsia" w:ascii="仿宋" w:hAnsi="仿宋" w:eastAsia="仿宋" w:cs="Times New Roman"/>
          <w:szCs w:val="32"/>
        </w:rPr>
        <w:t>各类重大工程设施。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黑体" w:eastAsia="楷体" w:cs="Times New Roman"/>
          <w:b w:val="0"/>
          <w:bCs/>
          <w:kern w:val="2"/>
          <w:sz w:val="32"/>
          <w:szCs w:val="32"/>
          <w:lang w:val="en-US" w:eastAsia="zh-CN" w:bidi="ar-SA"/>
        </w:rPr>
        <w:t>（五）防治措施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一是通过落实党政领导责任、部门监管责任、属地管理责任，进一步推进地质灾害防治管理各项工作措施。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二是通过开展地质灾害隐患排查，掌握地质灾害隐患点基本情况，推动构建“隐患点+风险区”双控体系。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三是通过完善地质灾害群测群防体系，结合地质灾害监测预警系统，推动“人防”与“技防”的有机结合，增强地质灾害监测预警能力。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Times New Roman"/>
          <w:szCs w:val="32"/>
        </w:rPr>
      </w:pPr>
      <w:r>
        <w:rPr>
          <w:rFonts w:hint="eastAsia" w:ascii="仿宋" w:hAnsi="仿宋" w:eastAsia="仿宋" w:cs="Times New Roman"/>
          <w:szCs w:val="32"/>
        </w:rPr>
        <w:t>四是通过开展地质灾害宣传培训、应急演练，修订地质灾害应急预案，提高我市防灾减灾能力</w:t>
      </w:r>
      <w:r>
        <w:rPr>
          <w:rFonts w:hint="eastAsia" w:ascii="仿宋" w:hAnsi="仿宋" w:eastAsia="仿宋" w:cs="Times New Roman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Cs w:val="32"/>
        </w:rPr>
        <w:t>加快推进地质灾害综合治理。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szCs w:val="32"/>
        </w:rPr>
        <w:t>五是汛期开展地质灾害</w:t>
      </w:r>
      <w:r>
        <w:rPr>
          <w:rFonts w:hint="eastAsia" w:ascii="仿宋" w:hAnsi="仿宋" w:eastAsia="仿宋" w:cs="Times New Roman"/>
          <w:szCs w:val="32"/>
          <w:lang w:eastAsia="zh-CN"/>
        </w:rPr>
        <w:t>隐患巡查</w:t>
      </w:r>
      <w:r>
        <w:rPr>
          <w:rFonts w:hint="eastAsia" w:ascii="仿宋" w:hAnsi="仿宋" w:eastAsia="仿宋" w:cs="Times New Roman"/>
          <w:szCs w:val="32"/>
        </w:rPr>
        <w:t>查、值班值守、</w:t>
      </w:r>
      <w:r>
        <w:rPr>
          <w:rFonts w:hint="eastAsia" w:ascii="仿宋" w:hAnsi="仿宋" w:eastAsia="仿宋" w:cs="Times New Roman"/>
          <w:szCs w:val="32"/>
          <w:lang w:eastAsia="zh-CN"/>
        </w:rPr>
        <w:t>预报预警</w:t>
      </w:r>
      <w:r>
        <w:rPr>
          <w:rFonts w:hint="eastAsia" w:ascii="仿宋" w:hAnsi="仿宋" w:eastAsia="仿宋" w:cs="Times New Roman"/>
          <w:szCs w:val="32"/>
        </w:rPr>
        <w:t>等工作，做好地质灾害技术支撑，落实地质灾害灾</w:t>
      </w:r>
      <w:bookmarkStart w:id="0" w:name="_GoBack"/>
      <w:bookmarkEnd w:id="0"/>
      <w:r>
        <w:rPr>
          <w:rFonts w:hint="eastAsia" w:ascii="仿宋" w:hAnsi="仿宋" w:eastAsia="仿宋" w:cs="Times New Roman"/>
          <w:szCs w:val="32"/>
        </w:rPr>
        <w:t>情速报制度。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MWRmZDVlZTEzM2JlNTZkNzBkMTM5ZDZjZDIwNjIifQ=="/>
  </w:docVars>
  <w:rsids>
    <w:rsidRoot w:val="00172A27"/>
    <w:rsid w:val="19BD3054"/>
    <w:rsid w:val="29EFE950"/>
    <w:rsid w:val="2AB113E1"/>
    <w:rsid w:val="3BFD290A"/>
    <w:rsid w:val="53080BBD"/>
    <w:rsid w:val="567D5B7B"/>
    <w:rsid w:val="6D7F8B37"/>
    <w:rsid w:val="727950DD"/>
    <w:rsid w:val="7C7FD017"/>
    <w:rsid w:val="7DF77FEB"/>
    <w:rsid w:val="7FAF3BAF"/>
    <w:rsid w:val="BA7B23C6"/>
    <w:rsid w:val="DBFDED34"/>
    <w:rsid w:val="F7EF5786"/>
    <w:rsid w:val="FF6B1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32"/>
      <w:szCs w:val="24"/>
      <w:lang w:val="en-US" w:eastAsia="zh-CN" w:bidi="ar-SA"/>
    </w:rPr>
  </w:style>
  <w:style w:type="paragraph" w:styleId="3">
    <w:name w:val="heading 2"/>
    <w:basedOn w:val="4"/>
    <w:next w:val="1"/>
    <w:unhideWhenUsed/>
    <w:qFormat/>
    <w:uiPriority w:val="9"/>
    <w:pPr>
      <w:widowControl w:val="0"/>
      <w:spacing w:before="0" w:after="0" w:line="579" w:lineRule="exact"/>
      <w:outlineLvl w:val="1"/>
    </w:pPr>
    <w:rPr>
      <w:rFonts w:ascii="楷体" w:hAnsi="黑体" w:eastAsia="楷体" w:cs="Times New Roman"/>
      <w:b w:val="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858</Words>
  <Characters>866</Characters>
  <Lines>0</Lines>
  <Paragraphs>0</Paragraphs>
  <TotalTime>8</TotalTime>
  <ScaleCrop>false</ScaleCrop>
  <LinksUpToDate>false</LinksUpToDate>
  <CharactersWithSpaces>866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2023-01-18T00:11:00Z</dcterms:created>
  <dc:creator>Administrator</dc:creator>
  <cp:lastModifiedBy>uos</cp:lastModifiedBy>
  <dcterms:modified xsi:type="dcterms:W3CDTF">2023-07-25T08:38:26Z</dcterms:modified>
  <dc:title>《关于加强我市县城空间管控与风貌塑造的指导意见（试行）》政策解读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2E7A9463FB774EE29EEA2AADABD7E4D9</vt:lpwstr>
  </property>
</Properties>
</file>