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adjustRightInd w:val="0"/>
        <w:snapToGrid w:val="0"/>
        <w:spacing w:line="560" w:lineRule="exact"/>
        <w:jc w:val="center"/>
        <w:textAlignment w:val="center"/>
        <w:rPr>
          <w:rStyle w:val="9"/>
          <w:rFonts w:hint="default" w:ascii="Times New Roman" w:hAnsi="Times New Roman" w:eastAsia="方正小标宋_GBK" w:cs="Times New Roman"/>
          <w:b w:val="0"/>
          <w:color w:val="auto"/>
          <w:spacing w:val="8"/>
          <w:sz w:val="44"/>
          <w:szCs w:val="44"/>
        </w:rPr>
      </w:pPr>
      <w:r>
        <w:rPr>
          <w:rStyle w:val="9"/>
          <w:rFonts w:hint="default" w:ascii="Times New Roman" w:hAnsi="Times New Roman" w:eastAsia="方正小标宋_GBK" w:cs="Times New Roman"/>
          <w:b w:val="0"/>
          <w:color w:val="auto"/>
          <w:spacing w:val="8"/>
          <w:sz w:val="44"/>
          <w:szCs w:val="44"/>
        </w:rPr>
        <w:t>《沈阳历史文化名城保护规划（2021-20</w:t>
      </w:r>
      <w:bookmarkStart w:id="0" w:name="_GoBack"/>
      <w:bookmarkEnd w:id="0"/>
      <w:r>
        <w:rPr>
          <w:rStyle w:val="9"/>
          <w:rFonts w:hint="default" w:ascii="Times New Roman" w:hAnsi="Times New Roman" w:eastAsia="方正小标宋_GBK" w:cs="Times New Roman"/>
          <w:b w:val="0"/>
          <w:color w:val="auto"/>
          <w:spacing w:val="8"/>
          <w:sz w:val="44"/>
          <w:szCs w:val="44"/>
        </w:rPr>
        <w:t>35年）</w:t>
      </w:r>
      <w:r>
        <w:rPr>
          <w:rStyle w:val="9"/>
          <w:rFonts w:hint="default" w:ascii="Times New Roman" w:hAnsi="Times New Roman" w:eastAsia="方正小标宋_GBK" w:cs="Times New Roman"/>
          <w:b w:val="0"/>
          <w:color w:val="auto"/>
          <w:spacing w:val="8"/>
          <w:sz w:val="44"/>
          <w:szCs w:val="44"/>
        </w:rPr>
        <w:t>草案</w:t>
      </w:r>
      <w:r>
        <w:rPr>
          <w:rStyle w:val="9"/>
          <w:rFonts w:hint="default" w:ascii="Times New Roman" w:hAnsi="Times New Roman" w:eastAsia="方正小标宋_GBK" w:cs="Times New Roman"/>
          <w:b w:val="0"/>
          <w:color w:val="auto"/>
          <w:spacing w:val="8"/>
          <w:sz w:val="44"/>
          <w:szCs w:val="44"/>
        </w:rPr>
        <w:t xml:space="preserve">》起草说明  </w:t>
      </w:r>
    </w:p>
    <w:p>
      <w:pPr>
        <w:adjustRightInd w:val="0"/>
        <w:snapToGrid w:val="0"/>
        <w:spacing w:line="560" w:lineRule="exact"/>
        <w:jc w:val="center"/>
        <w:textAlignment w:val="center"/>
        <w:rPr>
          <w:rStyle w:val="9"/>
          <w:rFonts w:hint="default" w:ascii="Times New Roman" w:hAnsi="Times New Roman" w:eastAsia="方正小标宋_GBK" w:cs="Times New Roman"/>
          <w:b w:val="0"/>
          <w:bCs/>
          <w:color w:val="auto"/>
          <w:spacing w:val="8"/>
          <w:sz w:val="44"/>
          <w:szCs w:val="44"/>
        </w:rPr>
      </w:pPr>
    </w:p>
    <w:p>
      <w:pPr>
        <w:pStyle w:val="2"/>
        <w:adjustRightInd w:val="0"/>
        <w:snapToGrid w:val="0"/>
        <w:spacing w:line="560" w:lineRule="exact"/>
        <w:ind w:firstLine="640"/>
        <w:textAlignment w:val="center"/>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一、起草依据及背景</w:t>
      </w:r>
    </w:p>
    <w:p>
      <w:pPr>
        <w:pStyle w:val="2"/>
        <w:adjustRightInd w:val="0"/>
        <w:snapToGrid w:val="0"/>
        <w:spacing w:line="560" w:lineRule="exact"/>
        <w:ind w:firstLine="64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沈阳是1986年国务院公布的第二批国家历史文化名城。为了保护好、传承好、利用好沈阳历史文化遗产，落实国家关于在城乡建设中加强历史文化保护传承等相关要求，切实推进沈阳市区域性文化创意中心建设，继承和弘扬优秀传统文化，依据《中华人民共和国城乡规划法》《历史文化名城名镇名村保护条例》等法律法规，我局组织编制了《沈阳历史文化名城保护规划 (2021-2035</w:t>
      </w:r>
      <w:r>
        <w:rPr>
          <w:rFonts w:hint="default" w:ascii="Times New Roman" w:hAnsi="Times New Roman" w:eastAsia="仿宋" w:cs="Times New Roman"/>
          <w:color w:val="auto"/>
          <w:sz w:val="32"/>
          <w:szCs w:val="32"/>
        </w:rPr>
        <w:t>年</w:t>
      </w:r>
      <w:r>
        <w:rPr>
          <w:rFonts w:hint="default" w:ascii="Times New Roman" w:hAnsi="Times New Roman" w:eastAsia="仿宋" w:cs="Times New Roman"/>
          <w:color w:val="auto"/>
          <w:sz w:val="32"/>
          <w:szCs w:val="32"/>
        </w:rPr>
        <w:t>)</w:t>
      </w:r>
      <w:r>
        <w:rPr>
          <w:rFonts w:hint="default" w:ascii="Times New Roman" w:hAnsi="Times New Roman" w:eastAsia="仿宋" w:cs="Times New Roman"/>
          <w:color w:val="auto"/>
          <w:sz w:val="32"/>
          <w:szCs w:val="32"/>
        </w:rPr>
        <w:t>草案</w:t>
      </w:r>
      <w:r>
        <w:rPr>
          <w:rFonts w:hint="default" w:ascii="Times New Roman" w:hAnsi="Times New Roman" w:eastAsia="仿宋" w:cs="Times New Roman"/>
          <w:color w:val="auto"/>
          <w:sz w:val="32"/>
          <w:szCs w:val="32"/>
        </w:rPr>
        <w:t>》。</w:t>
      </w:r>
    </w:p>
    <w:p>
      <w:pPr>
        <w:pStyle w:val="2"/>
        <w:adjustRightInd w:val="0"/>
        <w:snapToGrid w:val="0"/>
        <w:spacing w:line="560" w:lineRule="exact"/>
        <w:ind w:firstLine="64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规划以习近平新时代中国特色社会主义思想为指导，深入贯彻党的二十大精神，在全面总结评估沈阳历史文化名城保护成效与问题的基础上，系统构建了空间全覆盖、要素全囊括的城乡历史文化保护传承体系。</w:t>
      </w:r>
    </w:p>
    <w:p>
      <w:pPr>
        <w:pStyle w:val="2"/>
        <w:adjustRightInd w:val="0"/>
        <w:snapToGrid w:val="0"/>
        <w:spacing w:line="560" w:lineRule="exact"/>
        <w:ind w:firstLine="640"/>
        <w:textAlignment w:val="center"/>
        <w:rPr>
          <w:rFonts w:hint="default" w:ascii="Times New Roman" w:hAnsi="Times New Roman" w:eastAsia="黑体" w:cs="Times New Roman"/>
          <w:color w:val="auto"/>
          <w:sz w:val="32"/>
          <w:szCs w:val="32"/>
        </w:rPr>
      </w:pPr>
      <w:r>
        <w:rPr>
          <w:rFonts w:hint="default" w:ascii="Times New Roman" w:hAnsi="Times New Roman" w:eastAsia="黑体" w:cs="Times New Roman"/>
          <w:color w:val="auto"/>
          <w:sz w:val="32"/>
          <w:szCs w:val="32"/>
        </w:rPr>
        <w:t>二、主要内容</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规划主要包括名城价值特色、保护原则与保护目标、保护框架体系、山水格局保护、中心城区保护、历史文化名镇名村及传统村落保护、文物和历史建筑保护、古树名木及历史园林保护、特色遗产保护、非物质文化保护、历史文化遗产展示利用。</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（一）名城</w:t>
      </w:r>
      <w:r>
        <w:rPr>
          <w:rFonts w:hint="default" w:ascii="Times New Roman" w:hAnsi="Times New Roman" w:eastAsia="楷体" w:cs="Times New Roman"/>
          <w:b/>
          <w:bCs/>
          <w:color w:val="auto"/>
          <w:sz w:val="32"/>
          <w:szCs w:val="32"/>
        </w:rPr>
        <w:t>价值特色</w:t>
      </w:r>
      <w:r>
        <w:rPr>
          <w:rFonts w:hint="default" w:ascii="Times New Roman" w:hAnsi="Times New Roman" w:eastAsia="楷体" w:cs="Times New Roman"/>
          <w:b/>
          <w:bCs/>
          <w:color w:val="auto"/>
          <w:sz w:val="32"/>
          <w:szCs w:val="32"/>
        </w:rPr>
        <w:t xml:space="preserve"> </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沈阳具有11万年的人类活动史、7200多年的人类文化史和2300多年的城市建设史，是中华文明起源和中华文化传承的地标性城市、中国共产党领导下近现代民族独立和解放斗争的英雄城市、中国近现代工业摇篮和共和国工业奠基地、体现多民族和多元文化交汇融合的典型城市。</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（二）保护原则与保护目标</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保护原则：坚持统筹谋划、系统推进、多方参与；坚持价值导向、应保尽保、真实保护；坚持合理利用、传承发展、以用促保。</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目标：建立系统完整的城乡历史文化保护传承体系，做到空间全覆盖、要素全囊括，全面、系统保护各时期重要城乡历史文化遗产。正确处理保护与发展的关系，有效保护、充分利用城乡历史文化遗产，体现沈阳历史文化名城丰富的文化内涵，增强文化自觉、坚定文化自信、推进文化自强。将历史文化保护传承工作融入经济社会发展、生态文明建设和现代生活，擦亮历史文化名城“金名片”，彰显城市特色风貌，助力沈阳区域性文化创意中心建设。</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（三）保护框架体系</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规划充分体现“空间全覆盖、要素全囊括”，系统保护全域历史文化空间格局、地域特色文化资源和非物质文化资源，包括山水格局、历史城区、历史文化街区、历史地段、历史文化名镇名村及传统村落、文物、历史建筑、古树名木及历史园林、工业文化遗产、红色文化遗产、线性文化遗产、非物质文化遗产、历史地名及老字号等优秀传统文化。</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市域范围内突出中心城区的核心载体作用，强化历史文化名镇名村传统村落和山水形胜相融合的整体保护，构建“三山、三水、一城、多村”的全域保护空间格局。</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（四）山水格局保护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保护东部、北部、中部与各时期城市选址建设发展和历史典故密切相关的山体地貌，重点保护棋盘山-马耳山、巴尔虎山、七星山等共同维育的山体形态与文化景观。</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保护与各时期城市选址建设发展和历史典故密切相关的河湖水系，重点挖掘和保护辽河、浑河、蒲河及卧龙湖、财湖、仙子湖、秀湖等河流水系、湖泊水库的历史价值、生态格局与文化景观。</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（五）中心城区保护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中心城区范围内重点保护“板块拼贴式”特色空间格局，保护棋盘山山体向中心城区内部延伸的隆岗地貌及其承载的人文景观，保护浑河、环城水系等河湖水系空间形态特征与人文水岸，构建山水城交融的历史文化保护空间格局。加强历史城区、历史文化街区、历史地段整体保护与文物保护单位、历史建筑周边景观风貌的控制，突出历史文化景观节点及廊道，彰显历史文化风貌特色。</w:t>
      </w:r>
    </w:p>
    <w:p>
      <w:pPr>
        <w:adjustRightInd w:val="0"/>
        <w:snapToGrid w:val="0"/>
        <w:spacing w:line="560" w:lineRule="exact"/>
        <w:ind w:firstLine="642" w:firstLineChars="200"/>
        <w:textAlignment w:val="center"/>
        <w:rPr>
          <w:rFonts w:hint="default" w:ascii="Times New Roman" w:hAnsi="Times New Roman" w:eastAsia="仿宋" w:cs="Times New Roman"/>
          <w:b/>
          <w:color w:val="auto"/>
          <w:sz w:val="32"/>
          <w:szCs w:val="32"/>
        </w:rPr>
      </w:pPr>
      <w:r>
        <w:rPr>
          <w:rFonts w:hint="default" w:ascii="Times New Roman" w:hAnsi="Times New Roman" w:eastAsia="仿宋" w:cs="Times New Roman"/>
          <w:b/>
          <w:color w:val="auto"/>
          <w:sz w:val="32"/>
          <w:szCs w:val="32"/>
        </w:rPr>
        <w:t>1.历史城区保护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规划历史城区包括明清时期形成的盛京城、</w:t>
      </w:r>
      <w:r>
        <w:rPr>
          <w:rFonts w:hint="default" w:ascii="Times New Roman" w:hAnsi="Times New Roman" w:eastAsia="仿宋" w:cs="Times New Roman"/>
          <w:color w:val="auto"/>
          <w:sz w:val="32"/>
          <w:szCs w:val="32"/>
        </w:rPr>
        <w:t>民国</w:t>
      </w:r>
      <w:r>
        <w:rPr>
          <w:rFonts w:hint="default" w:ascii="Times New Roman" w:hAnsi="Times New Roman" w:eastAsia="仿宋" w:cs="Times New Roman"/>
          <w:color w:val="auto"/>
          <w:sz w:val="32"/>
          <w:szCs w:val="32"/>
        </w:rPr>
        <w:t>时期形成的满铁附属地和商埠地三部分，总面积约20.7平方公里。加强历史城区板块拼贴式城市格局、历史景观风貌、历史街巷肌理的整体保护。</w:t>
      </w:r>
    </w:p>
    <w:p>
      <w:pPr>
        <w:adjustRightInd w:val="0"/>
        <w:snapToGrid w:val="0"/>
        <w:spacing w:line="560" w:lineRule="exact"/>
        <w:ind w:firstLine="642" w:firstLineChars="200"/>
        <w:textAlignment w:val="center"/>
        <w:rPr>
          <w:rFonts w:hint="default" w:ascii="Times New Roman" w:hAnsi="Times New Roman" w:eastAsia="仿宋" w:cs="Times New Roman"/>
          <w:b/>
          <w:color w:val="auto"/>
          <w:sz w:val="32"/>
          <w:szCs w:val="32"/>
        </w:rPr>
      </w:pPr>
      <w:r>
        <w:rPr>
          <w:rFonts w:hint="default" w:ascii="Times New Roman" w:hAnsi="Times New Roman" w:eastAsia="仿宋" w:cs="Times New Roman"/>
          <w:b/>
          <w:color w:val="auto"/>
          <w:sz w:val="32"/>
          <w:szCs w:val="32"/>
        </w:rPr>
        <w:t>2.历史文化街区和历史地段保护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保护已公布的方城、中山路、铁西工人村3片省级历史文化街区，保护范围面积共273.3公顷。</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规划划定并保护16片历史地段。其中，工业文化特色类历史地段9片，历史文化特色类历史地段7片。</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（六）历史文化名镇名村和传统村落保护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保护秀水河子镇1个省级历史文化名镇，石佛寺一村1个中国历史文化名村，辽滨塔村、叶茂台村、小塔子村、半拉山子村、孟家村5个省级历史文化名村。</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保护石佛寺一村、石佛寺二村、叶茂台村、公主陵村4个中国传统村落。</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 xml:space="preserve">（七）文物和历史建筑保护 </w:t>
      </w:r>
    </w:p>
    <w:p>
      <w:pPr>
        <w:adjustRightInd w:val="0"/>
        <w:snapToGrid w:val="0"/>
        <w:spacing w:line="560" w:lineRule="exact"/>
        <w:ind w:firstLine="642" w:firstLineChars="200"/>
        <w:textAlignment w:val="center"/>
        <w:rPr>
          <w:rFonts w:hint="default" w:ascii="Times New Roman" w:hAnsi="Times New Roman" w:eastAsia="仿宋" w:cs="Times New Roman"/>
          <w:b/>
          <w:color w:val="auto"/>
          <w:sz w:val="32"/>
          <w:szCs w:val="32"/>
        </w:rPr>
      </w:pPr>
      <w:r>
        <w:rPr>
          <w:rFonts w:hint="default" w:ascii="Times New Roman" w:hAnsi="Times New Roman" w:eastAsia="仿宋" w:cs="Times New Roman"/>
          <w:b/>
          <w:color w:val="auto"/>
          <w:sz w:val="32"/>
          <w:szCs w:val="32"/>
        </w:rPr>
        <w:t>1.文物保护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保护沈阳故宫、福陵、昭陵3处世界文化遗产。保护314处市级以上文物保护单位，包括全国重点文物保护单位31处，省级文物保护单位99处，市级文物保护单位184处。</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保护尚未公布为文物保护单位的普查登记不可移动文物。</w:t>
      </w:r>
    </w:p>
    <w:p>
      <w:pPr>
        <w:adjustRightInd w:val="0"/>
        <w:snapToGrid w:val="0"/>
        <w:spacing w:line="560" w:lineRule="exact"/>
        <w:ind w:firstLine="642" w:firstLineChars="200"/>
        <w:textAlignment w:val="center"/>
        <w:rPr>
          <w:rFonts w:hint="default" w:ascii="Times New Roman" w:hAnsi="Times New Roman" w:eastAsia="仿宋" w:cs="Times New Roman"/>
          <w:b/>
          <w:color w:val="auto"/>
          <w:sz w:val="32"/>
          <w:szCs w:val="32"/>
        </w:rPr>
      </w:pPr>
      <w:r>
        <w:rPr>
          <w:rFonts w:hint="default" w:ascii="Times New Roman" w:hAnsi="Times New Roman" w:eastAsia="仿宋" w:cs="Times New Roman"/>
          <w:b/>
          <w:color w:val="auto"/>
          <w:sz w:val="32"/>
          <w:szCs w:val="32"/>
        </w:rPr>
        <w:t>2.历史建筑保护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保护市人民政府已公布的历史建筑236处。其中，第一批历史建筑41处，第二批历史建筑34处，第三批历史建筑34处，第四批历史建筑53处，第五批历史建筑36处，第六批历史建筑38处。</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保护县（市）人民政府公布的历史建筑6处。其中，新民市3处，法库县2处，康平县1处。</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（八）古树名木及历史园林保护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保护已经确定的3353株古树名木，以及约600株历史树木。保护建成50年以上的城市公园绿地及价值特别突出的郊野绿地。</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（九）特色</w:t>
      </w:r>
      <w:r>
        <w:rPr>
          <w:rFonts w:hint="default" w:ascii="Times New Roman" w:hAnsi="Times New Roman" w:eastAsia="楷体" w:cs="Times New Roman"/>
          <w:b/>
          <w:bCs/>
          <w:color w:val="auto"/>
          <w:sz w:val="32"/>
          <w:szCs w:val="32"/>
        </w:rPr>
        <w:t>遗产保护</w:t>
      </w:r>
    </w:p>
    <w:p>
      <w:pPr>
        <w:adjustRightInd w:val="0"/>
        <w:snapToGrid w:val="0"/>
        <w:spacing w:line="560" w:lineRule="exact"/>
        <w:ind w:firstLine="642" w:firstLineChars="200"/>
        <w:textAlignment w:val="cente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t>1.工业文化遗产保护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保护沈阳铸造厂、老龙口酒厂、沈阳造币厂3项国家工业遗产和沈阳冶金机械修造厂、奉天八王寺啤酒汽水酱油股份有限公司、沈阳红梅味精厂旧址、沈阳重型机器厂二金工车间旧址4项省级工业遗产。</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加强厂区、厂房、工人住宅、教育培训设施等生产生活设施的一体化保护，</w:t>
      </w:r>
      <w:r>
        <w:rPr>
          <w:rFonts w:hint="default" w:ascii="Times New Roman" w:hAnsi="Times New Roman" w:eastAsia="仿宋_GB2312" w:cs="Times New Roman"/>
          <w:color w:val="auto"/>
          <w:sz w:val="32"/>
        </w:rPr>
        <w:t>打造特色工业遗产片区</w:t>
      </w:r>
      <w:r>
        <w:rPr>
          <w:rFonts w:hint="default" w:ascii="Times New Roman" w:hAnsi="Times New Roman" w:eastAsia="仿宋" w:cs="Times New Roman"/>
          <w:color w:val="auto"/>
          <w:sz w:val="32"/>
          <w:szCs w:val="32"/>
        </w:rPr>
        <w:t>。</w:t>
      </w:r>
    </w:p>
    <w:p>
      <w:pPr>
        <w:adjustRightInd w:val="0"/>
        <w:snapToGrid w:val="0"/>
        <w:spacing w:line="560" w:lineRule="exact"/>
        <w:ind w:firstLine="642" w:firstLineChars="200"/>
        <w:textAlignment w:val="cente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t>2.红色文化遗产保护</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保护已公布的革命文物以及与百年党史密切相关的遗址遗迹、革命烈士陵园等，加强革命文物本体修缮与周边景观环境整治。</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深入挖掘红色资源，充分阐释辽宁“六地”红色文化在沈阳的价值，塑造英雄城市形象。</w:t>
      </w:r>
    </w:p>
    <w:p>
      <w:pPr>
        <w:adjustRightInd w:val="0"/>
        <w:snapToGrid w:val="0"/>
        <w:spacing w:line="560" w:lineRule="exact"/>
        <w:ind w:firstLine="642" w:firstLineChars="200"/>
        <w:textAlignment w:val="cente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t xml:space="preserve">3.线性文化遗产保护 </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保护沈阳市域内燕秦汉及明长城、辽河水运通道、大御路、近代铁路等线性文化遗产。不断完善线性文化遗产相关的历史文化资源调查与保护认定工作，提升整体保护水平，加强系统展示。</w:t>
      </w:r>
    </w:p>
    <w:p>
      <w:pPr>
        <w:adjustRightInd w:val="0"/>
        <w:snapToGrid w:val="0"/>
        <w:spacing w:line="560" w:lineRule="exact"/>
        <w:ind w:firstLine="642" w:firstLineChars="200"/>
        <w:textAlignment w:val="center"/>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（十）非物质文化保护</w:t>
      </w:r>
    </w:p>
    <w:p>
      <w:pPr>
        <w:adjustRightInd w:val="0"/>
        <w:snapToGrid w:val="0"/>
        <w:spacing w:line="560" w:lineRule="exact"/>
        <w:ind w:firstLine="642" w:firstLineChars="200"/>
        <w:textAlignment w:val="cente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t>1.非物质文化遗产</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保护已经公布的260项市级以上非物质文化遗产，其中国家级11项、省级40项、市级209项；247名市级以上代表性传承人，其中国家级代表性传承人10名、省级代表性传承人46名、市级代表性传承人191名。</w:t>
      </w:r>
    </w:p>
    <w:p>
      <w:pPr>
        <w:adjustRightInd w:val="0"/>
        <w:snapToGrid w:val="0"/>
        <w:spacing w:line="560" w:lineRule="exact"/>
        <w:ind w:firstLine="642" w:firstLineChars="200"/>
        <w:textAlignment w:val="cente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t>2.历史地名及老字号等优秀传统文化</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保护已经公布的40个市级地名文化目录，保护能够体现沈阳丰富内涵和特色文化价值的老字号、庙会等优秀传统文化。加强保护名录认定与公布，加强保护标志与宣传阐释。</w:t>
      </w:r>
    </w:p>
    <w:p>
      <w:pPr>
        <w:pStyle w:val="2"/>
        <w:spacing w:line="560" w:lineRule="exact"/>
        <w:ind w:firstLine="629" w:firstLineChars="196"/>
        <w:rPr>
          <w:rFonts w:hint="default" w:ascii="Times New Roman" w:hAnsi="Times New Roman" w:eastAsia="楷体" w:cs="Times New Roman"/>
          <w:b/>
          <w:bCs/>
          <w:color w:val="auto"/>
          <w:sz w:val="32"/>
          <w:szCs w:val="32"/>
        </w:rPr>
      </w:pPr>
      <w:r>
        <w:rPr>
          <w:rFonts w:hint="default" w:ascii="Times New Roman" w:hAnsi="Times New Roman" w:eastAsia="楷体" w:cs="Times New Roman"/>
          <w:b/>
          <w:bCs/>
          <w:color w:val="auto"/>
          <w:sz w:val="32"/>
          <w:szCs w:val="32"/>
        </w:rPr>
        <w:t>（十一）历史文化遗产展示利用</w:t>
      </w:r>
    </w:p>
    <w:p>
      <w:pPr>
        <w:adjustRightInd w:val="0"/>
        <w:snapToGrid w:val="0"/>
        <w:spacing w:line="560" w:lineRule="exact"/>
        <w:ind w:firstLine="640" w:firstLineChars="200"/>
        <w:textAlignment w:val="center"/>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rPr>
        <w:t>坚持价值引领、系统展示、服务公众、以用促保，突出沈阳历史文化、红色文化、工业文化、民族文化，打造历史文化体验区、建设多元展示建筑空间和主题文化公共空间、提供非物质文化空间载体，让历史文化遗产成为城乡特色标识和乡愁记忆，让历史文化融入现代生活，全面提升沈阳文化影响力、旅游吸引力、产业竞争力。</w:t>
      </w:r>
    </w:p>
    <w:sectPr>
      <w:pgSz w:w="11906" w:h="16838"/>
      <w:pgMar w:top="2154" w:right="1531" w:bottom="1984" w:left="1531"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2A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2629"/>
    <w:rsid w:val="0006442F"/>
    <w:rsid w:val="000D6D0E"/>
    <w:rsid w:val="001253AD"/>
    <w:rsid w:val="00147135"/>
    <w:rsid w:val="001D3090"/>
    <w:rsid w:val="001F245C"/>
    <w:rsid w:val="00213A29"/>
    <w:rsid w:val="00224D5D"/>
    <w:rsid w:val="00236575"/>
    <w:rsid w:val="00242501"/>
    <w:rsid w:val="002708A1"/>
    <w:rsid w:val="00280334"/>
    <w:rsid w:val="002A67FC"/>
    <w:rsid w:val="002C780F"/>
    <w:rsid w:val="0036132A"/>
    <w:rsid w:val="00372371"/>
    <w:rsid w:val="003F1A81"/>
    <w:rsid w:val="004E08F0"/>
    <w:rsid w:val="005800A4"/>
    <w:rsid w:val="005859DF"/>
    <w:rsid w:val="005A130B"/>
    <w:rsid w:val="005C5E17"/>
    <w:rsid w:val="00612C38"/>
    <w:rsid w:val="00670C85"/>
    <w:rsid w:val="006C5B5D"/>
    <w:rsid w:val="006D0EDE"/>
    <w:rsid w:val="006E4D07"/>
    <w:rsid w:val="00742722"/>
    <w:rsid w:val="007B7FD7"/>
    <w:rsid w:val="007C0BEC"/>
    <w:rsid w:val="00807C20"/>
    <w:rsid w:val="00815186"/>
    <w:rsid w:val="00831F11"/>
    <w:rsid w:val="00882438"/>
    <w:rsid w:val="00897812"/>
    <w:rsid w:val="008C6833"/>
    <w:rsid w:val="008D0A90"/>
    <w:rsid w:val="008D336A"/>
    <w:rsid w:val="008F60A0"/>
    <w:rsid w:val="00937EDA"/>
    <w:rsid w:val="00993EDE"/>
    <w:rsid w:val="009D7493"/>
    <w:rsid w:val="00A255EE"/>
    <w:rsid w:val="00A67F49"/>
    <w:rsid w:val="00A70A33"/>
    <w:rsid w:val="00A87AE2"/>
    <w:rsid w:val="00AB7B0F"/>
    <w:rsid w:val="00AE3692"/>
    <w:rsid w:val="00B70FC4"/>
    <w:rsid w:val="00B92468"/>
    <w:rsid w:val="00BD3C41"/>
    <w:rsid w:val="00C96488"/>
    <w:rsid w:val="00CE4983"/>
    <w:rsid w:val="00D31A14"/>
    <w:rsid w:val="00D42629"/>
    <w:rsid w:val="00D62F70"/>
    <w:rsid w:val="00DB56F9"/>
    <w:rsid w:val="00DB79A3"/>
    <w:rsid w:val="00E0572D"/>
    <w:rsid w:val="00E22233"/>
    <w:rsid w:val="00EB512B"/>
    <w:rsid w:val="00EF2C77"/>
    <w:rsid w:val="00F336AF"/>
    <w:rsid w:val="00F51720"/>
    <w:rsid w:val="00F530DD"/>
    <w:rsid w:val="33BB8B28"/>
    <w:rsid w:val="4BF7E54F"/>
    <w:rsid w:val="4FC02F2F"/>
    <w:rsid w:val="549F56D0"/>
    <w:rsid w:val="5BFF5ED2"/>
    <w:rsid w:val="5EB7DB45"/>
    <w:rsid w:val="5F3748C3"/>
    <w:rsid w:val="5F5F1C15"/>
    <w:rsid w:val="5FF76A5E"/>
    <w:rsid w:val="67F470BA"/>
    <w:rsid w:val="695FD565"/>
    <w:rsid w:val="6B9F271E"/>
    <w:rsid w:val="71AE0298"/>
    <w:rsid w:val="7DFFB1B1"/>
    <w:rsid w:val="BB3569A8"/>
    <w:rsid w:val="E37B08C2"/>
    <w:rsid w:val="E3F5F564"/>
    <w:rsid w:val="FBFFD9E2"/>
    <w:rsid w:val="FCDDF776"/>
    <w:rsid w:val="FEDDBEE1"/>
    <w:rsid w:val="FF6F5762"/>
    <w:rsid w:val="FFBB69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2"/>
    <w:unhideWhenUsed/>
    <w:qFormat/>
    <w:uiPriority w:val="0"/>
    <w:pPr>
      <w:spacing w:after="120"/>
    </w:pPr>
  </w:style>
  <w:style w:type="paragraph" w:styleId="3">
    <w:name w:val="Balloon Text"/>
    <w:basedOn w:val="1"/>
    <w:link w:val="14"/>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cs="宋体"/>
      <w:kern w:val="0"/>
      <w:sz w:val="24"/>
    </w:rPr>
  </w:style>
  <w:style w:type="character" w:styleId="9">
    <w:name w:val="Strong"/>
    <w:qFormat/>
    <w:uiPriority w:val="0"/>
    <w:rPr>
      <w:b/>
    </w:rPr>
  </w:style>
  <w:style w:type="character" w:customStyle="1" w:styleId="10">
    <w:name w:val="页眉 Char"/>
    <w:basedOn w:val="8"/>
    <w:link w:val="5"/>
    <w:qFormat/>
    <w:uiPriority w:val="99"/>
    <w:rPr>
      <w:sz w:val="18"/>
      <w:szCs w:val="18"/>
    </w:rPr>
  </w:style>
  <w:style w:type="character" w:customStyle="1" w:styleId="11">
    <w:name w:val="页脚 Char"/>
    <w:basedOn w:val="8"/>
    <w:link w:val="4"/>
    <w:qFormat/>
    <w:uiPriority w:val="99"/>
    <w:rPr>
      <w:sz w:val="18"/>
      <w:szCs w:val="18"/>
    </w:rPr>
  </w:style>
  <w:style w:type="character" w:customStyle="1" w:styleId="12">
    <w:name w:val="正文文本 Char"/>
    <w:basedOn w:val="8"/>
    <w:link w:val="2"/>
    <w:qFormat/>
    <w:uiPriority w:val="0"/>
    <w:rPr>
      <w:rFonts w:ascii="Calibri" w:hAnsi="Calibri" w:eastAsia="宋体" w:cs="Times New Roman"/>
      <w:szCs w:val="24"/>
    </w:rPr>
  </w:style>
  <w:style w:type="paragraph" w:styleId="13">
    <w:name w:val="List Paragraph"/>
    <w:basedOn w:val="1"/>
    <w:qFormat/>
    <w:uiPriority w:val="34"/>
    <w:pPr>
      <w:ind w:firstLine="420" w:firstLineChars="200"/>
    </w:pPr>
  </w:style>
  <w:style w:type="character" w:customStyle="1" w:styleId="14">
    <w:name w:val="批注框文本 Char"/>
    <w:basedOn w:val="8"/>
    <w:link w:val="3"/>
    <w:semiHidden/>
    <w:qFormat/>
    <w:uiPriority w:val="99"/>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Micorosoft</Company>
  <Pages>6</Pages>
  <Words>424</Words>
  <Characters>2420</Characters>
  <Lines>20</Lines>
  <Paragraphs>5</Paragraphs>
  <TotalTime>130</TotalTime>
  <ScaleCrop>false</ScaleCrop>
  <LinksUpToDate>false</LinksUpToDate>
  <CharactersWithSpaces>2839</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2023-11-10T13:39:00Z</dcterms:created>
  <dc:creator>赵志超</dc:creator>
  <cp:lastModifiedBy>zfb</cp:lastModifiedBy>
  <cp:lastPrinted>2023-11-16T09:09:00Z</cp:lastPrinted>
  <dcterms:modified xsi:type="dcterms:W3CDTF">2023-11-29T17:14:25Z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