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adjustRightInd w:val="0"/>
        <w:snapToGrid w:val="0"/>
        <w:spacing w:line="560" w:lineRule="exact"/>
        <w:jc w:val="center"/>
        <w:textAlignment w:val="center"/>
        <w:rPr>
          <w:rStyle w:val="9"/>
          <w:rFonts w:hint="eastAsia" w:ascii="宋体" w:hAnsi="宋体" w:eastAsia="宋体" w:cs="宋体"/>
          <w:b/>
          <w:bCs/>
          <w:color w:val="auto"/>
          <w:spacing w:val="8"/>
          <w:sz w:val="44"/>
          <w:szCs w:val="44"/>
        </w:rPr>
      </w:pPr>
      <w:r>
        <w:rPr>
          <w:rStyle w:val="9"/>
          <w:rFonts w:hint="eastAsia" w:ascii="宋体" w:hAnsi="宋体" w:eastAsia="宋体" w:cs="宋体"/>
          <w:b/>
          <w:bCs/>
          <w:color w:val="auto"/>
          <w:spacing w:val="8"/>
          <w:sz w:val="44"/>
          <w:szCs w:val="44"/>
        </w:rPr>
        <w:t>《沈阳市湿地保护三年行动方案</w:t>
      </w:r>
    </w:p>
    <w:p>
      <w:pPr>
        <w:pStyle w:val="2"/>
        <w:adjustRightInd w:val="0"/>
        <w:snapToGrid w:val="0"/>
        <w:spacing w:line="560" w:lineRule="exact"/>
        <w:jc w:val="center"/>
        <w:textAlignment w:val="center"/>
        <w:rPr>
          <w:rStyle w:val="9"/>
          <w:rFonts w:hint="default" w:ascii="Times New Roman" w:hAnsi="Times New Roman" w:eastAsia="方正小标宋_GBK" w:cs="Times New Roman"/>
          <w:b w:val="0"/>
          <w:color w:val="auto"/>
          <w:spacing w:val="8"/>
          <w:sz w:val="44"/>
          <w:szCs w:val="44"/>
        </w:rPr>
      </w:pPr>
      <w:r>
        <w:rPr>
          <w:rStyle w:val="9"/>
          <w:rFonts w:hint="eastAsia" w:ascii="宋体" w:hAnsi="宋体" w:eastAsia="宋体" w:cs="宋体"/>
          <w:b/>
          <w:bCs/>
          <w:color w:val="auto"/>
          <w:spacing w:val="8"/>
          <w:sz w:val="44"/>
          <w:szCs w:val="44"/>
        </w:rPr>
        <w:t>（2023-2025年）》起草说明</w:t>
      </w:r>
      <w:r>
        <w:rPr>
          <w:rStyle w:val="9"/>
          <w:rFonts w:hint="default" w:ascii="Times New Roman" w:hAnsi="Times New Roman" w:eastAsia="方正小标宋_GBK" w:cs="Times New Roman"/>
          <w:b w:val="0"/>
          <w:color w:val="auto"/>
          <w:spacing w:val="8"/>
          <w:sz w:val="44"/>
          <w:szCs w:val="44"/>
        </w:rPr>
        <w:t xml:space="preserve">  </w:t>
      </w:r>
    </w:p>
    <w:p>
      <w:pPr>
        <w:adjustRightInd w:val="0"/>
        <w:snapToGrid w:val="0"/>
        <w:spacing w:line="560" w:lineRule="exact"/>
        <w:jc w:val="center"/>
        <w:textAlignment w:val="center"/>
        <w:rPr>
          <w:rStyle w:val="9"/>
          <w:rFonts w:hint="default" w:ascii="Times New Roman" w:hAnsi="Times New Roman" w:eastAsia="方正小标宋_GBK" w:cs="Times New Roman"/>
          <w:b w:val="0"/>
          <w:bCs/>
          <w:color w:val="auto"/>
          <w:spacing w:val="8"/>
          <w:sz w:val="44"/>
          <w:szCs w:val="44"/>
        </w:rPr>
      </w:pPr>
    </w:p>
    <w:p>
      <w:pPr>
        <w:pStyle w:val="2"/>
        <w:adjustRightInd w:val="0"/>
        <w:snapToGrid w:val="0"/>
        <w:spacing w:line="560" w:lineRule="exact"/>
        <w:ind w:firstLine="640"/>
        <w:textAlignment w:val="center"/>
        <w:rPr>
          <w:rFonts w:hint="default" w:ascii="Times New Roman" w:hAnsi="Times New Roman" w:eastAsia="黑体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一、起草依据及背景</w:t>
      </w:r>
    </w:p>
    <w:p>
      <w:pPr>
        <w:pStyle w:val="2"/>
        <w:adjustRightInd w:val="0"/>
        <w:snapToGrid w:val="0"/>
        <w:spacing w:line="560" w:lineRule="exact"/>
        <w:ind w:firstLine="640"/>
        <w:textAlignment w:val="center"/>
        <w:rPr>
          <w:rFonts w:hint="eastAsia" w:ascii="仿宋" w:hAnsi="仿宋" w:eastAsia="仿宋" w:cs="仿宋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lang w:val="en-US" w:eastAsia="zh-CN" w:bidi="ar-SA"/>
        </w:rPr>
        <w:t>为落实市领导有关批示要求，我局坚持问题导向、目标导向，按照《中华人民共和国湿地保护法》《辽宁省湿地保护条例》《沈阳市湿地保护条例》等法律</w:t>
      </w:r>
      <w:bookmarkStart w:id="0" w:name="_GoBack"/>
      <w:bookmarkEnd w:id="0"/>
      <w:r>
        <w:rPr>
          <w:rFonts w:hint="eastAsia" w:ascii="仿宋" w:hAnsi="仿宋" w:eastAsia="仿宋" w:cs="仿宋"/>
          <w:color w:val="auto"/>
          <w:kern w:val="2"/>
          <w:sz w:val="32"/>
          <w:szCs w:val="32"/>
          <w:lang w:val="en-US" w:eastAsia="zh-CN" w:bidi="ar-SA"/>
        </w:rPr>
        <w:t>法规，结合沈阳实际和相关部门提报的工作举措，制定本《方案》。</w:t>
      </w:r>
    </w:p>
    <w:p>
      <w:pPr>
        <w:pStyle w:val="2"/>
        <w:adjustRightInd w:val="0"/>
        <w:snapToGrid w:val="0"/>
        <w:spacing w:line="560" w:lineRule="exact"/>
        <w:ind w:firstLine="640"/>
        <w:textAlignment w:val="center"/>
        <w:rPr>
          <w:rFonts w:hint="default" w:ascii="Times New Roman" w:hAnsi="Times New Roman" w:eastAsia="黑体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二、主要内容</w:t>
      </w:r>
    </w:p>
    <w:p>
      <w:pPr>
        <w:adjustRightInd w:val="0"/>
        <w:snapToGrid w:val="0"/>
        <w:spacing w:line="560" w:lineRule="exact"/>
        <w:ind w:firstLine="640" w:firstLineChars="200"/>
        <w:textAlignment w:val="center"/>
        <w:rPr>
          <w:rFonts w:hint="default" w:ascii="Times New Roman" w:hAnsi="Times New Roman" w:eastAsia="仿宋" w:cs="Times New Roman"/>
          <w:color w:val="auto"/>
          <w:sz w:val="32"/>
          <w:szCs w:val="32"/>
        </w:rPr>
      </w:pPr>
      <w:r>
        <w:rPr>
          <w:rFonts w:hint="default" w:ascii="仿宋" w:hAnsi="仿宋" w:eastAsia="仿宋" w:cs="仿宋"/>
          <w:color w:val="auto"/>
          <w:kern w:val="2"/>
          <w:sz w:val="32"/>
          <w:szCs w:val="32"/>
          <w:lang w:val="en-US" w:eastAsia="zh-CN" w:bidi="ar-SA"/>
        </w:rPr>
        <w:t>《方案》主要有四方面内容。</w:t>
      </w:r>
    </w:p>
    <w:p>
      <w:pPr>
        <w:numPr>
          <w:ilvl w:val="0"/>
          <w:numId w:val="0"/>
        </w:numPr>
        <w:adjustRightInd w:val="0"/>
        <w:snapToGrid w:val="0"/>
        <w:spacing w:line="560" w:lineRule="exact"/>
        <w:ind w:firstLine="640" w:firstLineChars="200"/>
        <w:textAlignment w:val="center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仿宋" w:eastAsia="楷体_GB2312" w:cs="仿宋"/>
          <w:sz w:val="32"/>
          <w:szCs w:val="32"/>
          <w:shd w:val="clear" w:color="080000" w:fill="FFFFFF"/>
        </w:rPr>
        <w:t>（一）</w:t>
      </w:r>
      <w:r>
        <w:rPr>
          <w:rFonts w:hint="default" w:ascii="楷体_GB2312" w:hAnsi="仿宋" w:eastAsia="楷体_GB2312" w:cs="仿宋"/>
          <w:sz w:val="32"/>
          <w:szCs w:val="32"/>
          <w:shd w:val="clear" w:color="080000" w:fill="FFFFFF"/>
        </w:rPr>
        <w:t>行动背景</w:t>
      </w:r>
      <w:r>
        <w:rPr>
          <w:rFonts w:hint="eastAsia" w:ascii="楷体_GB2312" w:hAnsi="仿宋" w:eastAsia="楷体_GB2312" w:cs="仿宋"/>
          <w:sz w:val="32"/>
          <w:szCs w:val="32"/>
          <w:shd w:val="clear" w:color="080000" w:fill="FFFFFF"/>
        </w:rPr>
        <w:t>。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多年来,市委、市政府始终坚持以习近平生态文明思想为根本遵循和行动指南，统筹推进山水林田湖草沙系统治理，扎实开展湿地保护和修复，湿地保护机制不断完善，湿地生态全面向好，湿地功能明显提升。</w:t>
      </w:r>
    </w:p>
    <w:p>
      <w:pPr>
        <w:numPr>
          <w:ilvl w:val="0"/>
          <w:numId w:val="0"/>
        </w:numPr>
        <w:adjustRightInd w:val="0"/>
        <w:snapToGrid w:val="0"/>
        <w:spacing w:line="560" w:lineRule="exact"/>
        <w:ind w:firstLine="640" w:firstLineChars="200"/>
        <w:textAlignment w:val="center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但同时，我市湿地保护工作也面临着</w:t>
      </w:r>
      <w:r>
        <w:rPr>
          <w:rFonts w:hint="eastAsia" w:ascii="仿宋" w:hAnsi="仿宋" w:eastAsia="仿宋" w:cs="仿宋"/>
          <w:sz w:val="32"/>
          <w:szCs w:val="32"/>
        </w:rPr>
        <w:t>重要湿地保护力度不强，湿地保护管理体制机制运行不畅，湿地管护保障资金不足，湿地保护任务艰巨繁重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等问题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numPr>
          <w:ilvl w:val="0"/>
          <w:numId w:val="0"/>
        </w:numPr>
        <w:adjustRightInd w:val="0"/>
        <w:snapToGrid w:val="0"/>
        <w:spacing w:line="560" w:lineRule="exact"/>
        <w:ind w:firstLine="640" w:firstLineChars="200"/>
        <w:textAlignment w:val="center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楷体_GB2312" w:hAnsi="仿宋" w:eastAsia="楷体_GB2312" w:cs="仿宋"/>
          <w:sz w:val="32"/>
          <w:szCs w:val="32"/>
          <w:shd w:val="clear" w:color="080000" w:fill="FFFFFF"/>
        </w:rPr>
        <w:t>（</w:t>
      </w:r>
      <w:r>
        <w:rPr>
          <w:rFonts w:hint="eastAsia" w:ascii="楷体_GB2312" w:hAnsi="仿宋" w:eastAsia="楷体_GB2312" w:cs="仿宋"/>
          <w:sz w:val="32"/>
          <w:szCs w:val="32"/>
          <w:shd w:val="clear" w:color="080000" w:fill="FFFFFF"/>
          <w:lang w:val="en-US" w:eastAsia="zh-CN"/>
        </w:rPr>
        <w:t>二</w:t>
      </w:r>
      <w:r>
        <w:rPr>
          <w:rFonts w:hint="eastAsia" w:ascii="楷体_GB2312" w:hAnsi="仿宋" w:eastAsia="楷体_GB2312" w:cs="仿宋"/>
          <w:sz w:val="32"/>
          <w:szCs w:val="32"/>
          <w:shd w:val="clear" w:color="080000" w:fill="FFFFFF"/>
        </w:rPr>
        <w:t>）</w:t>
      </w:r>
      <w:r>
        <w:rPr>
          <w:rFonts w:hint="eastAsia" w:ascii="楷体_GB2312" w:hAnsi="仿宋" w:eastAsia="楷体_GB2312" w:cs="仿宋"/>
          <w:sz w:val="32"/>
          <w:szCs w:val="32"/>
          <w:shd w:val="clear" w:color="080000" w:fill="FFFFFF"/>
          <w:lang w:val="en-US" w:eastAsia="zh-CN"/>
        </w:rPr>
        <w:t>总体要求</w:t>
      </w:r>
      <w:r>
        <w:rPr>
          <w:rFonts w:hint="eastAsia" w:ascii="楷体_GB2312" w:hAnsi="仿宋" w:eastAsia="楷体_GB2312" w:cs="仿宋"/>
          <w:sz w:val="32"/>
          <w:szCs w:val="32"/>
          <w:shd w:val="clear" w:color="080000" w:fill="FFFFFF"/>
        </w:rPr>
        <w:t>。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坚持“保护优先、系统修复，坚持政府主导、综合协调，坚持科学利用、共建共享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”的原则，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实行湿地总量管控，至2025年，我市湿地总量不减少。基本形成法律制度完善、科技支撑有力、责任主体明确的湿地保护新机制。持续实施湿地保护与修复，最大限度保障湿地生态系统的自然性、完整性、稳定性，增强湿地生态功能，维护湿地生物多样性，提升湿地生态系统质量。</w:t>
      </w:r>
    </w:p>
    <w:p>
      <w:pPr>
        <w:adjustRightInd w:val="0"/>
        <w:snapToGrid w:val="0"/>
        <w:spacing w:line="560" w:lineRule="exact"/>
        <w:ind w:firstLine="640" w:firstLineChars="200"/>
        <w:textAlignment w:val="center"/>
        <w:rPr>
          <w:rFonts w:hint="default" w:ascii="仿宋" w:hAnsi="仿宋" w:eastAsia="仿宋" w:cs="仿宋"/>
          <w:bCs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楷体_GB2312" w:hAnsi="仿宋" w:eastAsia="楷体_GB2312" w:cs="仿宋"/>
          <w:sz w:val="32"/>
          <w:szCs w:val="32"/>
          <w:shd w:val="clear" w:color="080000" w:fill="FFFFFF"/>
          <w:lang w:val="en-US" w:eastAsia="zh-CN"/>
        </w:rPr>
        <w:t>（三）</w:t>
      </w:r>
      <w:r>
        <w:rPr>
          <w:rFonts w:hint="default" w:ascii="楷体_GB2312" w:hAnsi="仿宋" w:eastAsia="楷体_GB2312" w:cs="仿宋"/>
          <w:sz w:val="32"/>
          <w:szCs w:val="32"/>
          <w:shd w:val="clear" w:color="080000" w:fill="FFFFFF"/>
          <w:lang w:val="en-US" w:eastAsia="zh-CN"/>
        </w:rPr>
        <w:t>重点任务。</w:t>
      </w:r>
      <w:r>
        <w:rPr>
          <w:rFonts w:hint="eastAsia" w:ascii="仿宋" w:hAnsi="仿宋" w:eastAsia="仿宋" w:cs="仿宋"/>
          <w:b/>
          <w:bCs w:val="0"/>
          <w:sz w:val="32"/>
          <w:szCs w:val="32"/>
          <w:shd w:val="clear" w:color="auto" w:fill="FFFFFF"/>
          <w:lang w:val="en-US" w:eastAsia="zh-CN"/>
        </w:rPr>
        <w:t>一是</w:t>
      </w:r>
      <w:r>
        <w:rPr>
          <w:rFonts w:hint="eastAsia" w:ascii="仿宋" w:hAnsi="仿宋" w:eastAsia="仿宋" w:cs="仿宋"/>
          <w:b/>
          <w:bCs w:val="0"/>
          <w:sz w:val="32"/>
          <w:szCs w:val="32"/>
          <w:shd w:val="clear" w:color="auto" w:fill="FFFFFF"/>
        </w:rPr>
        <w:t>持续完善湿地保护体系，构建湿地保护总体格局</w:t>
      </w:r>
      <w:r>
        <w:rPr>
          <w:rFonts w:hint="eastAsia" w:ascii="仿宋" w:hAnsi="仿宋" w:eastAsia="仿宋" w:cs="仿宋"/>
          <w:b/>
          <w:bCs w:val="0"/>
          <w:sz w:val="32"/>
          <w:szCs w:val="32"/>
          <w:shd w:val="clear" w:color="auto" w:fill="FFFFFF"/>
          <w:lang w:eastAsia="zh-CN"/>
        </w:rPr>
        <w:t>。</w:t>
      </w:r>
      <w:r>
        <w:rPr>
          <w:rFonts w:hint="eastAsia" w:ascii="仿宋" w:hAnsi="仿宋" w:eastAsia="仿宋" w:cs="仿宋"/>
          <w:bCs/>
          <w:sz w:val="32"/>
          <w:szCs w:val="32"/>
          <w:shd w:val="clear" w:color="auto" w:fill="FFFFFF"/>
          <w:lang w:val="zh-CN"/>
        </w:rPr>
        <w:t>逐步实现我市国家重要湿地、省</w:t>
      </w:r>
      <w:r>
        <w:rPr>
          <w:rFonts w:hint="eastAsia" w:ascii="仿宋" w:hAnsi="仿宋" w:eastAsia="仿宋" w:cs="仿宋"/>
          <w:bCs/>
          <w:sz w:val="32"/>
          <w:szCs w:val="32"/>
          <w:shd w:val="clear" w:color="auto" w:fill="FFFFFF"/>
        </w:rPr>
        <w:t>级</w:t>
      </w:r>
      <w:r>
        <w:rPr>
          <w:rFonts w:hint="eastAsia" w:ascii="仿宋" w:hAnsi="仿宋" w:eastAsia="仿宋" w:cs="仿宋"/>
          <w:bCs/>
          <w:sz w:val="32"/>
          <w:szCs w:val="32"/>
          <w:shd w:val="clear" w:color="auto" w:fill="FFFFFF"/>
          <w:lang w:val="zh-CN"/>
        </w:rPr>
        <w:t>重要湿地、一般湿地的分级管理体系。</w:t>
      </w:r>
      <w:r>
        <w:rPr>
          <w:rFonts w:hint="eastAsia" w:ascii="仿宋" w:hAnsi="仿宋" w:eastAsia="仿宋" w:cs="仿宋"/>
          <w:bCs/>
          <w:sz w:val="32"/>
          <w:szCs w:val="32"/>
          <w:shd w:val="clear" w:color="auto" w:fill="FFFFFF"/>
        </w:rPr>
        <w:t>按照湿地分类管理的相关要求，进一步明确相关部门管理范围</w:t>
      </w:r>
      <w:r>
        <w:rPr>
          <w:rFonts w:hint="eastAsia" w:ascii="仿宋" w:hAnsi="仿宋" w:eastAsia="仿宋" w:cs="仿宋"/>
          <w:bCs/>
          <w:sz w:val="32"/>
          <w:szCs w:val="32"/>
          <w:shd w:val="clear" w:color="auto" w:fill="FFFFFF"/>
          <w:lang w:val="en-US" w:eastAsia="zh-CN"/>
        </w:rPr>
        <w:t>及职责分工</w:t>
      </w:r>
      <w:r>
        <w:rPr>
          <w:rFonts w:hint="eastAsia" w:ascii="仿宋" w:hAnsi="仿宋" w:eastAsia="仿宋" w:cs="仿宋"/>
          <w:bCs/>
          <w:sz w:val="32"/>
          <w:szCs w:val="32"/>
          <w:shd w:val="clear" w:color="auto" w:fill="FFFFFF"/>
        </w:rPr>
        <w:t>。</w:t>
      </w:r>
      <w:r>
        <w:rPr>
          <w:rFonts w:hint="eastAsia" w:ascii="仿宋" w:hAnsi="仿宋" w:eastAsia="仿宋" w:cs="仿宋"/>
          <w:bCs/>
          <w:sz w:val="32"/>
          <w:szCs w:val="32"/>
          <w:shd w:val="clear" w:color="auto" w:fill="FFFFFF"/>
          <w:lang w:val="zh-CN"/>
        </w:rPr>
        <w:t>进一步完善《沈阳市湿地保护总体规划（2019-2035年）》以及沈阳卧龙湖自然保护区等七处湿地类型自然保护地总体规划。</w:t>
      </w:r>
      <w:r>
        <w:rPr>
          <w:rFonts w:hint="eastAsia" w:ascii="仿宋" w:hAnsi="仿宋" w:eastAsia="仿宋" w:cs="仿宋"/>
          <w:b/>
          <w:bCs w:val="0"/>
          <w:sz w:val="32"/>
          <w:szCs w:val="32"/>
          <w:shd w:val="clear" w:color="auto" w:fill="FFFFFF"/>
          <w:lang w:val="en-US" w:eastAsia="zh-CN"/>
        </w:rPr>
        <w:t>二是</w:t>
      </w:r>
      <w:r>
        <w:rPr>
          <w:rFonts w:hint="eastAsia" w:ascii="仿宋" w:hAnsi="仿宋" w:eastAsia="仿宋" w:cs="仿宋"/>
          <w:b/>
          <w:bCs w:val="0"/>
          <w:sz w:val="32"/>
          <w:szCs w:val="32"/>
          <w:shd w:val="clear" w:color="auto" w:fill="FFFFFF"/>
        </w:rPr>
        <w:t>健全法规体系，大力搞好管护人员队伍建设</w:t>
      </w:r>
      <w:r>
        <w:rPr>
          <w:rFonts w:hint="eastAsia" w:ascii="仿宋" w:hAnsi="仿宋" w:eastAsia="仿宋" w:cs="仿宋"/>
          <w:b/>
          <w:bCs w:val="0"/>
          <w:sz w:val="32"/>
          <w:szCs w:val="32"/>
          <w:shd w:val="clear" w:color="auto" w:fill="FFFFFF"/>
          <w:lang w:eastAsia="zh-CN"/>
        </w:rPr>
        <w:t>。</w:t>
      </w:r>
      <w:r>
        <w:rPr>
          <w:rFonts w:hint="eastAsia" w:ascii="仿宋" w:hAnsi="仿宋" w:eastAsia="仿宋" w:cs="仿宋"/>
          <w:kern w:val="0"/>
          <w:sz w:val="32"/>
          <w:szCs w:val="32"/>
        </w:rPr>
        <w:t>根据《辽宁省湿地保护条例》修订进度，适时启动《沈阳市湿地保护条例》的修订工作，</w:t>
      </w:r>
      <w:r>
        <w:rPr>
          <w:rFonts w:hint="eastAsia" w:ascii="仿宋" w:hAnsi="仿宋" w:eastAsia="仿宋" w:cs="仿宋"/>
          <w:bCs/>
          <w:sz w:val="32"/>
          <w:szCs w:val="32"/>
          <w:shd w:val="clear" w:color="auto" w:fill="FFFFFF"/>
        </w:rPr>
        <w:t>依法保护我市湿地资源。结合我市实际，加强管护人员培训</w:t>
      </w:r>
      <w:r>
        <w:rPr>
          <w:rFonts w:hint="eastAsia" w:ascii="仿宋" w:hAnsi="仿宋" w:eastAsia="仿宋" w:cs="仿宋"/>
          <w:bCs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仿宋" w:hAnsi="仿宋" w:eastAsia="仿宋" w:cs="仿宋"/>
          <w:bCs/>
          <w:sz w:val="32"/>
          <w:szCs w:val="32"/>
          <w:shd w:val="clear" w:color="auto" w:fill="FFFFFF"/>
        </w:rPr>
        <w:t>组织开展全市湿地保护修复能力培训活动。</w:t>
      </w:r>
      <w:r>
        <w:rPr>
          <w:rFonts w:hint="eastAsia" w:ascii="仿宋" w:hAnsi="仿宋" w:eastAsia="仿宋" w:cs="仿宋"/>
          <w:b/>
          <w:bCs w:val="0"/>
          <w:sz w:val="32"/>
          <w:szCs w:val="32"/>
          <w:shd w:val="clear" w:color="auto" w:fill="FFFFFF"/>
          <w:lang w:val="en-US" w:eastAsia="zh-CN"/>
        </w:rPr>
        <w:t>三是加强湿地资源调查监测，全面掌握湿地资源变化动态。</w:t>
      </w:r>
      <w:r>
        <w:rPr>
          <w:rFonts w:hint="eastAsia" w:ascii="仿宋" w:hAnsi="仿宋" w:eastAsia="仿宋" w:cs="仿宋"/>
          <w:bCs/>
          <w:sz w:val="32"/>
          <w:szCs w:val="32"/>
          <w:shd w:val="clear" w:color="auto" w:fill="FFFFFF"/>
          <w:lang w:val="en-US" w:eastAsia="zh-CN"/>
        </w:rPr>
        <w:t>明确了湿地调查监测主体，</w:t>
      </w:r>
      <w:r>
        <w:rPr>
          <w:rFonts w:hint="eastAsia" w:ascii="仿宋" w:hAnsi="仿宋" w:eastAsia="仿宋" w:cs="仿宋"/>
          <w:bCs/>
          <w:kern w:val="0"/>
          <w:sz w:val="32"/>
          <w:szCs w:val="32"/>
          <w:lang w:val="zh-CN"/>
        </w:rPr>
        <w:t>统筹规划全市湿地监测站点设置，逐步推进在湿地类型自然保护地、省</w:t>
      </w:r>
      <w:r>
        <w:rPr>
          <w:rFonts w:hint="eastAsia" w:ascii="仿宋" w:hAnsi="仿宋" w:eastAsia="仿宋" w:cs="仿宋"/>
          <w:bCs/>
          <w:kern w:val="0"/>
          <w:sz w:val="32"/>
          <w:szCs w:val="32"/>
        </w:rPr>
        <w:t>级</w:t>
      </w:r>
      <w:r>
        <w:rPr>
          <w:rFonts w:hint="eastAsia" w:ascii="仿宋" w:hAnsi="仿宋" w:eastAsia="仿宋" w:cs="仿宋"/>
          <w:bCs/>
          <w:kern w:val="0"/>
          <w:sz w:val="32"/>
          <w:szCs w:val="32"/>
          <w:lang w:val="zh-CN"/>
        </w:rPr>
        <w:t>重要湿地、一般湿地设立水文、气象、水质、野生动植物监测站（点），推进全市湿地监测数据信息库建设。依托我市高校、科研院所专业技术力量，联合开展湿地栖息野生动植物监测。</w:t>
      </w:r>
      <w:r>
        <w:rPr>
          <w:rFonts w:hint="eastAsia" w:ascii="仿宋" w:hAnsi="仿宋" w:eastAsia="仿宋" w:cs="仿宋"/>
          <w:b/>
          <w:bCs w:val="0"/>
          <w:kern w:val="2"/>
          <w:sz w:val="32"/>
          <w:szCs w:val="32"/>
          <w:shd w:val="clear" w:color="auto" w:fill="FFFFFF"/>
          <w:lang w:val="en-US" w:eastAsia="zh-CN" w:bidi="ar-SA"/>
        </w:rPr>
        <w:t>四是强化湿地保护与修复能力，提升湿地生态功能。</w:t>
      </w:r>
      <w:r>
        <w:rPr>
          <w:rFonts w:hint="eastAsia" w:ascii="仿宋" w:hAnsi="仿宋" w:eastAsia="仿宋" w:cs="仿宋"/>
          <w:sz w:val="32"/>
          <w:szCs w:val="32"/>
        </w:rPr>
        <w:t>根据“谁破坏、谁修复”的原则，明确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了</w:t>
      </w:r>
      <w:r>
        <w:rPr>
          <w:rFonts w:hint="eastAsia" w:ascii="仿宋" w:hAnsi="仿宋" w:eastAsia="仿宋" w:cs="仿宋"/>
          <w:sz w:val="32"/>
          <w:szCs w:val="32"/>
        </w:rPr>
        <w:t>湿地修复责任主体。</w:t>
      </w:r>
      <w:r>
        <w:rPr>
          <w:rFonts w:hint="eastAsia" w:ascii="仿宋" w:hAnsi="仿宋" w:eastAsia="仿宋" w:cs="仿宋"/>
          <w:bCs/>
          <w:sz w:val="32"/>
          <w:szCs w:val="32"/>
          <w:lang w:val="zh-CN"/>
        </w:rPr>
        <w:t>依法实行湿地面积总量管控制度。</w:t>
      </w:r>
      <w:r>
        <w:rPr>
          <w:rFonts w:hint="eastAsia" w:ascii="仿宋" w:hAnsi="仿宋" w:eastAsia="仿宋" w:cs="仿宋"/>
          <w:kern w:val="0"/>
          <w:sz w:val="32"/>
          <w:szCs w:val="32"/>
        </w:rPr>
        <w:t>结合实际开展河流生态补水工作，</w:t>
      </w:r>
      <w:r>
        <w:rPr>
          <w:rFonts w:hint="eastAsia" w:ascii="仿宋" w:hAnsi="仿宋" w:eastAsia="仿宋" w:cs="仿宋"/>
          <w:bCs/>
          <w:sz w:val="32"/>
          <w:szCs w:val="32"/>
          <w:lang w:val="zh-CN"/>
        </w:rPr>
        <w:t>加强湿地上游汇入河流和库区重点环境问题巡查及整改督办。</w:t>
      </w:r>
      <w:r>
        <w:rPr>
          <w:rFonts w:hint="eastAsia" w:ascii="仿宋" w:hAnsi="仿宋" w:eastAsia="仿宋" w:cs="仿宋"/>
          <w:kern w:val="0"/>
          <w:sz w:val="32"/>
          <w:szCs w:val="32"/>
          <w:lang w:val="zh-CN"/>
        </w:rPr>
        <w:t>开展卧龙湖等重要湿地恢复与修复工程</w:t>
      </w:r>
      <w:r>
        <w:rPr>
          <w:rFonts w:hint="eastAsia" w:ascii="仿宋" w:hAnsi="仿宋" w:eastAsia="仿宋" w:cs="仿宋"/>
          <w:kern w:val="0"/>
          <w:sz w:val="32"/>
          <w:szCs w:val="32"/>
        </w:rPr>
        <w:t>为打好打赢科尔沁沙地歼灭战贡献湿地力量</w:t>
      </w:r>
      <w:r>
        <w:rPr>
          <w:rFonts w:hint="eastAsia" w:ascii="仿宋" w:hAnsi="仿宋" w:eastAsia="仿宋" w:cs="仿宋"/>
          <w:kern w:val="0"/>
          <w:sz w:val="32"/>
          <w:szCs w:val="32"/>
          <w:lang w:val="zh-CN"/>
        </w:rPr>
        <w:t>。</w:t>
      </w:r>
      <w:r>
        <w:rPr>
          <w:rFonts w:hint="eastAsia" w:ascii="仿宋" w:hAnsi="仿宋" w:eastAsia="仿宋" w:cs="仿宋"/>
          <w:b/>
          <w:bCs w:val="0"/>
          <w:kern w:val="2"/>
          <w:sz w:val="32"/>
          <w:szCs w:val="32"/>
          <w:shd w:val="clear" w:color="auto" w:fill="FFFFFF"/>
          <w:lang w:val="en-US" w:eastAsia="zh-CN" w:bidi="ar-SA"/>
        </w:rPr>
        <w:t>五是健全湿地保护政策制度，不断构建湿地保护长效机制。</w:t>
      </w:r>
      <w:r>
        <w:rPr>
          <w:rFonts w:hint="eastAsia" w:ascii="仿宋" w:hAnsi="仿宋" w:eastAsia="仿宋" w:cs="仿宋"/>
          <w:sz w:val="32"/>
          <w:szCs w:val="32"/>
        </w:rPr>
        <w:t>建立湿地利用管控机制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强化湿地利用监督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依据《湿地保护法》《辽宁省湿地保护条例》等有关法律法规，严厉查处违法利用湿地的行为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b/>
          <w:bCs w:val="0"/>
          <w:kern w:val="2"/>
          <w:sz w:val="32"/>
          <w:szCs w:val="32"/>
          <w:shd w:val="clear" w:color="auto" w:fill="FFFFFF"/>
          <w:lang w:val="en-US" w:eastAsia="zh-CN" w:bidi="ar-SA"/>
        </w:rPr>
        <w:t>六是</w:t>
      </w:r>
      <w:r>
        <w:rPr>
          <w:rFonts w:hint="eastAsia" w:ascii="仿宋" w:hAnsi="仿宋" w:eastAsia="仿宋" w:cs="仿宋"/>
          <w:b/>
          <w:bCs w:val="0"/>
          <w:kern w:val="2"/>
          <w:sz w:val="32"/>
          <w:szCs w:val="32"/>
          <w:shd w:val="clear" w:color="auto" w:fill="FFFFFF"/>
          <w:lang w:val="zh-CN" w:eastAsia="zh-CN" w:bidi="ar-SA"/>
        </w:rPr>
        <w:t>探索拓展湿地利用</w:t>
      </w:r>
      <w:r>
        <w:rPr>
          <w:rFonts w:hint="eastAsia" w:ascii="仿宋" w:hAnsi="仿宋" w:eastAsia="仿宋" w:cs="仿宋"/>
          <w:b/>
          <w:bCs w:val="0"/>
          <w:kern w:val="2"/>
          <w:sz w:val="32"/>
          <w:szCs w:val="32"/>
          <w:shd w:val="clear" w:color="auto" w:fill="FFFFFF"/>
          <w:lang w:val="en-US" w:eastAsia="zh-CN" w:bidi="ar-SA"/>
        </w:rPr>
        <w:t>模式</w:t>
      </w:r>
      <w:r>
        <w:rPr>
          <w:rFonts w:hint="eastAsia" w:ascii="仿宋" w:hAnsi="仿宋" w:eastAsia="仿宋" w:cs="仿宋"/>
          <w:b/>
          <w:bCs w:val="0"/>
          <w:kern w:val="2"/>
          <w:sz w:val="32"/>
          <w:szCs w:val="32"/>
          <w:shd w:val="clear" w:color="auto" w:fill="FFFFFF"/>
          <w:lang w:val="zh-CN" w:eastAsia="zh-CN" w:bidi="ar-SA"/>
        </w:rPr>
        <w:t>，充分发挥湿地</w:t>
      </w:r>
      <w:r>
        <w:rPr>
          <w:rFonts w:hint="eastAsia" w:ascii="仿宋" w:hAnsi="仿宋" w:eastAsia="仿宋" w:cs="仿宋"/>
          <w:b/>
          <w:bCs w:val="0"/>
          <w:kern w:val="2"/>
          <w:sz w:val="32"/>
          <w:szCs w:val="32"/>
          <w:shd w:val="clear" w:color="auto" w:fill="FFFFFF"/>
          <w:lang w:val="en-US" w:eastAsia="zh-CN" w:bidi="ar-SA"/>
        </w:rPr>
        <w:t>综合</w:t>
      </w:r>
      <w:r>
        <w:rPr>
          <w:rFonts w:hint="eastAsia" w:ascii="仿宋" w:hAnsi="仿宋" w:eastAsia="仿宋" w:cs="仿宋"/>
          <w:b/>
          <w:bCs w:val="0"/>
          <w:kern w:val="2"/>
          <w:sz w:val="32"/>
          <w:szCs w:val="32"/>
          <w:shd w:val="clear" w:color="auto" w:fill="FFFFFF"/>
          <w:lang w:val="zh-CN" w:eastAsia="zh-CN" w:bidi="ar-SA"/>
        </w:rPr>
        <w:t>效益。</w:t>
      </w:r>
      <w:r>
        <w:rPr>
          <w:rFonts w:hint="eastAsia" w:ascii="仿宋" w:hAnsi="仿宋" w:eastAsia="仿宋" w:cs="仿宋"/>
          <w:sz w:val="32"/>
          <w:szCs w:val="32"/>
        </w:rPr>
        <w:t>立足湿地资源展示开展教育科研活动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依托湿地资源鼓励发展生态农业。在政策允许的前提下，</w:t>
      </w:r>
      <w:r>
        <w:rPr>
          <w:rFonts w:hint="eastAsia" w:ascii="仿宋" w:hAnsi="仿宋" w:eastAsia="仿宋" w:cs="仿宋"/>
          <w:kern w:val="0"/>
          <w:sz w:val="32"/>
          <w:szCs w:val="32"/>
        </w:rPr>
        <w:t>打造具有沈阳特色的生态旅游、冰雪活动、自然山水、文化体验项目，提升我市生态旅游品牌形象。</w:t>
      </w:r>
    </w:p>
    <w:p>
      <w:pPr>
        <w:adjustRightInd w:val="0"/>
        <w:snapToGrid w:val="0"/>
        <w:spacing w:line="560" w:lineRule="exact"/>
        <w:ind w:firstLine="640" w:firstLineChars="200"/>
        <w:textAlignment w:val="center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楷体_GB2312" w:hAnsi="仿宋" w:eastAsia="楷体_GB2312" w:cs="仿宋"/>
          <w:sz w:val="32"/>
          <w:szCs w:val="32"/>
          <w:shd w:val="clear" w:color="080000" w:fill="FFFFFF"/>
          <w:lang w:val="en-US" w:eastAsia="zh-CN"/>
        </w:rPr>
        <w:t>（四）保障措施</w:t>
      </w:r>
      <w:r>
        <w:rPr>
          <w:rFonts w:hint="default" w:ascii="楷体_GB2312" w:hAnsi="仿宋" w:eastAsia="楷体_GB2312" w:cs="仿宋"/>
          <w:sz w:val="32"/>
          <w:szCs w:val="32"/>
          <w:shd w:val="clear" w:color="080000" w:fill="FFFFFF"/>
          <w:lang w:val="en-US" w:eastAsia="zh-CN"/>
        </w:rPr>
        <w:t>。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对加强组织领导、保障资金投入、完善科技支撑体系、加强宣传教育、加强督导考核进行了说明。</w:t>
      </w:r>
    </w:p>
    <w:sectPr>
      <w:pgSz w:w="11906" w:h="16838"/>
      <w:pgMar w:top="2154" w:right="1531" w:bottom="1984" w:left="1531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Q5YWNkN2Q5YzFmYTNiMDJhYmRhODQ3ODgwMjdmNjYifQ=="/>
  </w:docVars>
  <w:rsids>
    <w:rsidRoot w:val="00D42629"/>
    <w:rsid w:val="0006442F"/>
    <w:rsid w:val="000D6D0E"/>
    <w:rsid w:val="001253AD"/>
    <w:rsid w:val="00147135"/>
    <w:rsid w:val="001D3090"/>
    <w:rsid w:val="001F245C"/>
    <w:rsid w:val="00213A29"/>
    <w:rsid w:val="00224D5D"/>
    <w:rsid w:val="00236575"/>
    <w:rsid w:val="00242501"/>
    <w:rsid w:val="002708A1"/>
    <w:rsid w:val="00280334"/>
    <w:rsid w:val="002A67FC"/>
    <w:rsid w:val="002C780F"/>
    <w:rsid w:val="0036132A"/>
    <w:rsid w:val="00372371"/>
    <w:rsid w:val="003F1A81"/>
    <w:rsid w:val="004E08F0"/>
    <w:rsid w:val="005800A4"/>
    <w:rsid w:val="005859DF"/>
    <w:rsid w:val="005A130B"/>
    <w:rsid w:val="005C5E17"/>
    <w:rsid w:val="00612C38"/>
    <w:rsid w:val="00670C85"/>
    <w:rsid w:val="006C5B5D"/>
    <w:rsid w:val="006D0EDE"/>
    <w:rsid w:val="006E4D07"/>
    <w:rsid w:val="00742722"/>
    <w:rsid w:val="007B7FD7"/>
    <w:rsid w:val="007C0BEC"/>
    <w:rsid w:val="00807C20"/>
    <w:rsid w:val="00815186"/>
    <w:rsid w:val="00831F11"/>
    <w:rsid w:val="00882438"/>
    <w:rsid w:val="00897812"/>
    <w:rsid w:val="008C6833"/>
    <w:rsid w:val="008D0A90"/>
    <w:rsid w:val="008D336A"/>
    <w:rsid w:val="008F60A0"/>
    <w:rsid w:val="00937EDA"/>
    <w:rsid w:val="00993EDE"/>
    <w:rsid w:val="009D7493"/>
    <w:rsid w:val="00A255EE"/>
    <w:rsid w:val="00A67F49"/>
    <w:rsid w:val="00A70A33"/>
    <w:rsid w:val="00A87AE2"/>
    <w:rsid w:val="00AB7B0F"/>
    <w:rsid w:val="00AE3692"/>
    <w:rsid w:val="00B70FC4"/>
    <w:rsid w:val="00B92468"/>
    <w:rsid w:val="00BD3C41"/>
    <w:rsid w:val="00C56505"/>
    <w:rsid w:val="00C96488"/>
    <w:rsid w:val="00CE4983"/>
    <w:rsid w:val="00D31A14"/>
    <w:rsid w:val="00D42629"/>
    <w:rsid w:val="00D62F70"/>
    <w:rsid w:val="00DB56F9"/>
    <w:rsid w:val="00DB79A3"/>
    <w:rsid w:val="00E0572D"/>
    <w:rsid w:val="00E22233"/>
    <w:rsid w:val="00EB512B"/>
    <w:rsid w:val="00EF2C77"/>
    <w:rsid w:val="00F336AF"/>
    <w:rsid w:val="00F51720"/>
    <w:rsid w:val="00F530DD"/>
    <w:rsid w:val="10D069EF"/>
    <w:rsid w:val="1F3031C1"/>
    <w:rsid w:val="213C72A7"/>
    <w:rsid w:val="33BB8B28"/>
    <w:rsid w:val="4BF7E54F"/>
    <w:rsid w:val="4FC02F2F"/>
    <w:rsid w:val="549F56D0"/>
    <w:rsid w:val="5BFF5ED2"/>
    <w:rsid w:val="5EB7DB45"/>
    <w:rsid w:val="5F3748C3"/>
    <w:rsid w:val="5F5F1C15"/>
    <w:rsid w:val="5FF76A5E"/>
    <w:rsid w:val="65211CFC"/>
    <w:rsid w:val="67F470BA"/>
    <w:rsid w:val="695FD565"/>
    <w:rsid w:val="6B9F271E"/>
    <w:rsid w:val="709B6764"/>
    <w:rsid w:val="71AE0298"/>
    <w:rsid w:val="7DFFB1B1"/>
    <w:rsid w:val="BB3569A8"/>
    <w:rsid w:val="E37B08C2"/>
    <w:rsid w:val="E3F5F564"/>
    <w:rsid w:val="FBFFD9E2"/>
    <w:rsid w:val="FCDDF776"/>
    <w:rsid w:val="FEDDBEE1"/>
    <w:rsid w:val="FF6F5762"/>
    <w:rsid w:val="FFBB6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2"/>
    <w:unhideWhenUsed/>
    <w:qFormat/>
    <w:uiPriority w:val="0"/>
    <w:pPr>
      <w:spacing w:after="120"/>
    </w:pPr>
  </w:style>
  <w:style w:type="paragraph" w:styleId="3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9">
    <w:name w:val="Strong"/>
    <w:qFormat/>
    <w:uiPriority w:val="0"/>
    <w:rPr>
      <w:b/>
    </w:rPr>
  </w:style>
  <w:style w:type="character" w:customStyle="1" w:styleId="10">
    <w:name w:val="页眉 Char"/>
    <w:basedOn w:val="8"/>
    <w:link w:val="5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4"/>
    <w:qFormat/>
    <w:uiPriority w:val="99"/>
    <w:rPr>
      <w:sz w:val="18"/>
      <w:szCs w:val="18"/>
    </w:rPr>
  </w:style>
  <w:style w:type="character" w:customStyle="1" w:styleId="12">
    <w:name w:val="正文文本 Char"/>
    <w:basedOn w:val="8"/>
    <w:link w:val="2"/>
    <w:qFormat/>
    <w:uiPriority w:val="0"/>
    <w:rPr>
      <w:rFonts w:ascii="Calibri" w:hAnsi="Calibri" w:eastAsia="宋体" w:cs="Times New Roman"/>
      <w:szCs w:val="24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  <w:style w:type="character" w:customStyle="1" w:styleId="14">
    <w:name w:val="批注框文本 Char"/>
    <w:basedOn w:val="8"/>
    <w:link w:val="3"/>
    <w:semiHidden/>
    <w:qFormat/>
    <w:uiPriority w:val="99"/>
    <w:rPr>
      <w:rFonts w:ascii="Calibri" w:hAnsi="Calibri" w:eastAsia="宋体" w:cs="Times New Roman"/>
      <w:kern w:val="2"/>
      <w:sz w:val="18"/>
      <w:szCs w:val="18"/>
    </w:rPr>
  </w:style>
  <w:style w:type="character" w:customStyle="1" w:styleId="15">
    <w:name w:val="NormalCharact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Micorosoft</Company>
  <Pages>6</Pages>
  <Words>424</Words>
  <Characters>2420</Characters>
  <Lines>20</Lines>
  <Paragraphs>5</Paragraphs>
  <TotalTime>20</TotalTime>
  <ScaleCrop>false</ScaleCrop>
  <LinksUpToDate>false</LinksUpToDate>
  <CharactersWithSpaces>2839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2023-11-10T13:39:00Z</dcterms:created>
  <dc:creator>赵志超</dc:creator>
  <cp:lastModifiedBy>Administrator</cp:lastModifiedBy>
  <cp:lastPrinted>2023-11-16T09:09:00Z</cp:lastPrinted>
  <dcterms:modified xsi:type="dcterms:W3CDTF">2023-12-14T07:57:32Z</dcterms:modified>
  <cp:revision>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1C964E5F884142538E30C268CB4B3CE2_13</vt:lpwstr>
  </property>
</Properties>
</file>