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宋体" w:hAnsi="宋体" w:eastAsia="宋体" w:cs="宋体"/>
          <w:b/>
          <w:bCs/>
          <w:spacing w:val="16"/>
          <w:sz w:val="44"/>
          <w:szCs w:val="44"/>
        </w:rPr>
      </w:pPr>
      <w:r>
        <w:rPr>
          <w:rFonts w:hint="eastAsia" w:ascii="宋体" w:hAnsi="宋体" w:cs="宋体"/>
          <w:b/>
          <w:bCs/>
          <w:spacing w:val="16"/>
          <w:sz w:val="44"/>
          <w:szCs w:val="44"/>
          <w:lang w:eastAsia="zh-CN"/>
        </w:rPr>
        <w:t>《</w:t>
      </w:r>
      <w:r>
        <w:rPr>
          <w:rFonts w:hint="eastAsia" w:ascii="宋体" w:hAnsi="宋体" w:eastAsia="宋体" w:cs="宋体"/>
          <w:b/>
          <w:bCs/>
          <w:spacing w:val="16"/>
          <w:sz w:val="44"/>
          <w:szCs w:val="44"/>
        </w:rPr>
        <w:t>沈阳市矿产资源总体规划</w:t>
      </w:r>
      <w:r>
        <w:rPr>
          <w:rFonts w:hint="eastAsia" w:ascii="宋体" w:hAnsi="宋体" w:eastAsia="宋体" w:cs="宋体"/>
          <w:b/>
          <w:bCs/>
          <w:sz w:val="44"/>
          <w:szCs w:val="44"/>
        </w:rPr>
        <w:t>（2021—2025年）</w:t>
      </w:r>
      <w:r>
        <w:rPr>
          <w:rFonts w:hint="eastAsia" w:ascii="宋体" w:hAnsi="宋体" w:cs="宋体"/>
          <w:b/>
          <w:bCs/>
          <w:spacing w:val="16"/>
          <w:sz w:val="44"/>
          <w:szCs w:val="44"/>
          <w:lang w:eastAsia="zh-CN"/>
        </w:rPr>
        <w:t>》</w:t>
      </w:r>
      <w:bookmarkStart w:id="0" w:name="_GoBack"/>
      <w:bookmarkEnd w:id="0"/>
      <w:r>
        <w:rPr>
          <w:rFonts w:hint="eastAsia" w:ascii="宋体" w:hAnsi="宋体" w:eastAsia="宋体" w:cs="宋体"/>
          <w:b/>
          <w:bCs/>
          <w:sz w:val="44"/>
          <w:szCs w:val="44"/>
        </w:rPr>
        <w:t>起草</w:t>
      </w:r>
      <w:r>
        <w:rPr>
          <w:rFonts w:hint="eastAsia" w:ascii="宋体" w:hAnsi="宋体" w:eastAsia="宋体" w:cs="宋体"/>
          <w:b/>
          <w:bCs/>
          <w:spacing w:val="16"/>
          <w:sz w:val="44"/>
          <w:szCs w:val="44"/>
        </w:rPr>
        <w:t>说明</w:t>
      </w:r>
    </w:p>
    <w:p>
      <w:pPr>
        <w:rPr>
          <w:rFonts w:ascii="仿宋" w:hAnsi="仿宋" w:eastAsia="仿宋"/>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一、起草依据及背景</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为全面落实《辽宁省矿产资源总体规划（2021—2025年）》（以下简称《省规划》）和我市“十四五”期间国民经济和社会发展的任务，统筹矿产资源勘查、开发利用与保护，推动矿业绿色发展，确保资源供给与经济社会发展需求相适应，资源开发利用与生态环境保护相协调，规划管控与管理改革相衔接，系统谋划部署“十四五”期间全市矿产资源领域主要任务和改革发展重要举措，为沈阳市提供资源保障，促进沈阳经济社会高质量发展。按照《矿产资源规划编制实施办法》、《省级矿产资源总体规划编制技术规程》、《市县级矿产资源总体规划编制要点》等要求，我局在充分总结上轮规划工作的基础上，认真进行调查研究，综合分析，并结合市情、矿情，组织编制了《沈阳市矿产资源总体规划（2021—2025年）》（以下简称《规划》）。</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仿宋" w:hAnsi="仿宋" w:eastAsia="仿宋"/>
          <w:sz w:val="30"/>
          <w:szCs w:val="30"/>
        </w:rPr>
      </w:pPr>
      <w:r>
        <w:rPr>
          <w:rFonts w:hint="eastAsia" w:ascii="仿宋_GB2312" w:hAnsi="仿宋_GB2312" w:eastAsia="仿宋_GB2312" w:cs="仿宋_GB2312"/>
          <w:sz w:val="30"/>
          <w:szCs w:val="30"/>
        </w:rPr>
        <w:t>《规划》以习近平新时代中国特色社会主义思想为指导，深入贯彻落实习近平总书记关于东北、辽宁振兴发展的重要讲话和指示精神，紧密围绕统筹推进“五位一体”总体布局，协调推进“四个全面”战略布局，贯彻落实新发展理念，构建新发展格局，以推动高质量发展为主题，以提高矿产资源保障能力为目标，服从服务于生态安全和资源安全两个大局，深化矿产资源管理改革，科学调控矿产资源供给，优化勘查开发结构布局，提高资源利用效率，推动矿业绿色化、智能化，实现矿业高质量可持续安全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二、起草原则</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1．资源开发与环境保护相统一</w:t>
      </w:r>
      <w:r>
        <w:rPr>
          <w:rFonts w:hint="eastAsia" w:ascii="仿宋_GB2312" w:hAnsi="仿宋_GB2312" w:eastAsia="仿宋_GB2312" w:cs="仿宋_GB2312"/>
          <w:sz w:val="30"/>
          <w:szCs w:val="30"/>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2．资源开发与经济发展相统一</w:t>
      </w:r>
      <w:r>
        <w:rPr>
          <w:rFonts w:hint="eastAsia" w:ascii="仿宋_GB2312" w:hAnsi="仿宋_GB2312" w:eastAsia="仿宋_GB2312" w:cs="仿宋_GB2312"/>
          <w:sz w:val="30"/>
          <w:szCs w:val="30"/>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3．资源开发与合理利用相统一</w:t>
      </w:r>
      <w:r>
        <w:rPr>
          <w:rFonts w:hint="eastAsia" w:ascii="仿宋_GB2312" w:hAnsi="仿宋_GB2312" w:eastAsia="仿宋_GB2312" w:cs="仿宋_GB2312"/>
          <w:sz w:val="30"/>
          <w:szCs w:val="30"/>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4．资源开发与管理改革相统一</w:t>
      </w:r>
      <w:r>
        <w:rPr>
          <w:rFonts w:hint="eastAsia" w:ascii="仿宋_GB2312" w:hAnsi="仿宋_GB2312" w:eastAsia="仿宋_GB2312" w:cs="仿宋_GB2312"/>
          <w:sz w:val="30"/>
          <w:szCs w:val="30"/>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三、主要内容</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楷体" w:hAnsi="楷体" w:eastAsia="楷体" w:cs="楷体"/>
          <w:sz w:val="30"/>
          <w:szCs w:val="30"/>
        </w:rPr>
      </w:pPr>
      <w:r>
        <w:rPr>
          <w:rFonts w:hint="eastAsia" w:ascii="楷体" w:hAnsi="楷体" w:eastAsia="楷体" w:cs="楷体"/>
          <w:sz w:val="30"/>
          <w:szCs w:val="30"/>
          <w:lang w:eastAsia="zh-CN"/>
        </w:rPr>
        <w:t>（一）</w:t>
      </w:r>
      <w:r>
        <w:rPr>
          <w:rFonts w:hint="eastAsia" w:ascii="楷体" w:hAnsi="楷体" w:eastAsia="楷体" w:cs="楷体"/>
          <w:sz w:val="30"/>
          <w:szCs w:val="30"/>
        </w:rPr>
        <w:t>《规划》专题研究</w:t>
      </w:r>
    </w:p>
    <w:p>
      <w:pPr>
        <w:keepNext w:val="0"/>
        <w:keepLines w:val="0"/>
        <w:pageBreakBefore w:val="0"/>
        <w:widowControl w:val="0"/>
        <w:kinsoku/>
        <w:wordWrap/>
        <w:overflowPunct/>
        <w:topLinePunct w:val="0"/>
        <w:autoSpaceDE/>
        <w:autoSpaceDN/>
        <w:bidi w:val="0"/>
        <w:adjustRightInd/>
        <w:snapToGrid/>
        <w:spacing w:line="560" w:lineRule="exact"/>
        <w:ind w:firstLine="602" w:firstLineChars="200"/>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lang w:val="en-US" w:eastAsia="zh-CN"/>
        </w:rPr>
        <w:t>1.</w:t>
      </w:r>
      <w:r>
        <w:rPr>
          <w:rFonts w:hint="eastAsia" w:ascii="仿宋_GB2312" w:hAnsi="仿宋_GB2312" w:eastAsia="仿宋_GB2312" w:cs="仿宋_GB2312"/>
          <w:b/>
          <w:bCs/>
          <w:sz w:val="30"/>
          <w:szCs w:val="30"/>
        </w:rPr>
        <w:t>沈阳市“十三五”矿产资源总体规划实施评估</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基于全市矿产资源勘查、开发利用、节约与综合利用及矿区生态修复现状，围绕第三轮规划确定的目标任务、分区布局、重大工程、政策措施等，梳理优秀经验做法，提出存在的问题，客观评价规划实施情况，全面总结规划实施取得的主要成效，同时提出对本轮规划编制工作的对策和建议。</w:t>
      </w:r>
    </w:p>
    <w:p>
      <w:pPr>
        <w:keepNext w:val="0"/>
        <w:keepLines w:val="0"/>
        <w:pageBreakBefore w:val="0"/>
        <w:widowControl w:val="0"/>
        <w:kinsoku/>
        <w:wordWrap/>
        <w:overflowPunct/>
        <w:topLinePunct w:val="0"/>
        <w:autoSpaceDE/>
        <w:autoSpaceDN/>
        <w:bidi w:val="0"/>
        <w:adjustRightInd/>
        <w:snapToGrid/>
        <w:spacing w:line="560" w:lineRule="exact"/>
        <w:ind w:firstLine="602" w:firstLineChars="200"/>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lang w:val="en-US" w:eastAsia="zh-CN"/>
        </w:rPr>
        <w:t>2.</w:t>
      </w:r>
      <w:r>
        <w:rPr>
          <w:rFonts w:hint="eastAsia" w:ascii="仿宋_GB2312" w:hAnsi="仿宋_GB2312" w:eastAsia="仿宋_GB2312" w:cs="仿宋_GB2312"/>
          <w:b/>
          <w:bCs/>
          <w:sz w:val="30"/>
          <w:szCs w:val="30"/>
        </w:rPr>
        <w:t>沈阳市矿产资源勘查开采区划与空间协调分析研究</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从科学配置全市矿产资源和引导矿业权投放的角度，根据辽宁省矿产资源勘查开采规划区块和集中开采区划定工作的指导意见，按照科学布局、优化结构和规模开发的要求，本着符合国家法律法规和相关产业政策、矿业权合理布局、绿色发展生态保护、加强协调衔接原则、充分考虑矿产资源赋存特点、资源储量规模、勘查程度、开发利用现状、技术经济条件及矿山地质环境保护等因素的影响，提出公益性地质勘查项目及集中开采区的具体指导建议，并与沈阳市国土空间规划、沈阳市国民经济和社会发展第十四个五年规划有效衔接，分析三条主要控制线及其它限制禁止类区域与矿产资源勘查开采之间的关系，拟定空间协调方案。</w:t>
      </w:r>
    </w:p>
    <w:p>
      <w:pPr>
        <w:keepNext w:val="0"/>
        <w:keepLines w:val="0"/>
        <w:pageBreakBefore w:val="0"/>
        <w:widowControl w:val="0"/>
        <w:kinsoku/>
        <w:wordWrap/>
        <w:overflowPunct/>
        <w:topLinePunct w:val="0"/>
        <w:autoSpaceDE/>
        <w:autoSpaceDN/>
        <w:bidi w:val="0"/>
        <w:adjustRightInd/>
        <w:snapToGrid/>
        <w:spacing w:line="560" w:lineRule="exact"/>
        <w:ind w:firstLine="602" w:firstLineChars="200"/>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lang w:val="en-US" w:eastAsia="zh-CN"/>
        </w:rPr>
        <w:t>3.</w:t>
      </w:r>
      <w:r>
        <w:rPr>
          <w:rFonts w:hint="eastAsia" w:ascii="仿宋_GB2312" w:hAnsi="仿宋_GB2312" w:eastAsia="仿宋_GB2312" w:cs="仿宋_GB2312"/>
          <w:b/>
          <w:bCs/>
          <w:sz w:val="30"/>
          <w:szCs w:val="30"/>
        </w:rPr>
        <w:t>沈阳市建筑用砂石矿开发利用战略研究</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根据“十四五”期间经济社会发展目标，结合</w:t>
      </w:r>
      <w:r>
        <w:rPr>
          <w:rFonts w:hint="eastAsia" w:ascii="仿宋_GB2312" w:hAnsi="仿宋_GB2312" w:eastAsia="仿宋_GB2312" w:cs="仿宋_GB2312"/>
          <w:sz w:val="30"/>
          <w:szCs w:val="30"/>
          <w:highlight w:val="none"/>
        </w:rPr>
        <w:t>砂石矿矿产资源</w:t>
      </w:r>
      <w:r>
        <w:rPr>
          <w:rFonts w:hint="eastAsia" w:ascii="仿宋_GB2312" w:hAnsi="仿宋_GB2312" w:eastAsia="仿宋_GB2312" w:cs="仿宋_GB2312"/>
          <w:sz w:val="30"/>
          <w:szCs w:val="30"/>
        </w:rPr>
        <w:t>分布特点和社会实际需求，依据各县区调研结果，研究我市砂石矿开发利用布局优化方法和“十四五”矿业权投放比选预案，并提出建筑用砂石矿权准入、数量控制、布局重构及引导政策的对策和建议。</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楷体" w:hAnsi="楷体" w:eastAsia="楷体" w:cs="楷体"/>
          <w:sz w:val="30"/>
          <w:szCs w:val="30"/>
        </w:rPr>
      </w:pPr>
      <w:r>
        <w:rPr>
          <w:rFonts w:hint="eastAsia" w:ascii="楷体" w:hAnsi="楷体" w:eastAsia="楷体" w:cs="楷体"/>
          <w:sz w:val="30"/>
          <w:szCs w:val="30"/>
          <w:lang w:eastAsia="zh-CN"/>
        </w:rPr>
        <w:t>（二）</w:t>
      </w:r>
      <w:r>
        <w:rPr>
          <w:rFonts w:hint="eastAsia" w:ascii="楷体" w:hAnsi="楷体" w:eastAsia="楷体" w:cs="楷体"/>
          <w:sz w:val="30"/>
          <w:szCs w:val="30"/>
        </w:rPr>
        <w:t>《规划》编制</w:t>
      </w:r>
    </w:p>
    <w:p>
      <w:pPr>
        <w:keepNext w:val="0"/>
        <w:keepLines w:val="0"/>
        <w:pageBreakBefore w:val="0"/>
        <w:widowControl w:val="0"/>
        <w:kinsoku/>
        <w:wordWrap/>
        <w:overflowPunct/>
        <w:topLinePunct w:val="0"/>
        <w:autoSpaceDE/>
        <w:autoSpaceDN/>
        <w:bidi w:val="0"/>
        <w:adjustRightInd/>
        <w:snapToGrid/>
        <w:spacing w:line="560" w:lineRule="exact"/>
        <w:ind w:firstLine="602" w:firstLineChars="200"/>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lang w:val="en-US" w:eastAsia="zh-CN"/>
        </w:rPr>
        <w:t>1.</w:t>
      </w:r>
      <w:r>
        <w:rPr>
          <w:rFonts w:hint="eastAsia" w:ascii="仿宋_GB2312" w:hAnsi="仿宋_GB2312" w:eastAsia="仿宋_GB2312" w:cs="仿宋_GB2312"/>
          <w:b/>
          <w:bCs/>
          <w:sz w:val="30"/>
          <w:szCs w:val="30"/>
        </w:rPr>
        <w:t>文本</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文本分为总则及八个章节。</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总则明确《规划》编制的目的、依据及规划期。</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一章现状与形势，分析沈阳市行政区域内矿产资源概况和主要特点，对上一轮规划实施取得成效进行评估，结合本地经济社会发展实际，客观判断本地区矿产资源勘查、开采、矿区生态保护修复、矿业经济发展现状、存在问题和面临形势。</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第二章指导原则和目标，阐述《规划》的指导思想、基本原则，提出规划期的目标。</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第三章矿产勘查开发与布局，明确沈阳市规划期矿产资源勘查开发调控方向、能源安全保障布局及勘查开发重点区域。全面落实《省规划》的管控要求及规划分区，确保边界范围、政策和监督管理措施落地。</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四章矿产资源勘查开发利用与保护，按照同一矿种探矿权采矿权出让登记同级管理的规定，对本级审批发证的矿产资源的勘查开发利用与保护活动进行详细的部署和安排。对合理确定开发强度，优化开发利用结构及严格规划开采规模准入管理方面提出相关的管理措施。</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第五章矿业绿色发展和矿区生态保护，对我市矿业转型升级与绿色发展进行部署和安排，阐述矿区生态保护的相关管理措施。</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六章县区矿产资源规划，按照《市县级矿产资源总体规划编制要点》等文件要求，沈阳市法库县单独编制规划，对有矿业活动且未编制规划的康平县、新民市、苏家屯区、浑南区、沈北新区在本《规划》中作章节安排。</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第七章矿产资源管理制度改革，从矿产资源勘查管理，矿业权出让方式管理，矿产资源储量管理方面阐述制度改革的相关措施。</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第八章规划保障措施，从规划实施目标责任考核、规划实施评估调整、规划实施情况监督检查、规划实施要素保障及规划管理信息化方面阐述规划的保障措施。</w:t>
      </w:r>
    </w:p>
    <w:p>
      <w:pPr>
        <w:keepNext w:val="0"/>
        <w:keepLines w:val="0"/>
        <w:pageBreakBefore w:val="0"/>
        <w:widowControl w:val="0"/>
        <w:kinsoku/>
        <w:wordWrap/>
        <w:overflowPunct/>
        <w:topLinePunct w:val="0"/>
        <w:autoSpaceDE/>
        <w:autoSpaceDN/>
        <w:bidi w:val="0"/>
        <w:adjustRightInd/>
        <w:snapToGrid/>
        <w:spacing w:line="560" w:lineRule="exact"/>
        <w:ind w:firstLine="602" w:firstLineChars="200"/>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lang w:val="en-US" w:eastAsia="zh-CN"/>
        </w:rPr>
        <w:t>2.</w:t>
      </w:r>
      <w:r>
        <w:rPr>
          <w:rFonts w:hint="eastAsia" w:ascii="仿宋_GB2312" w:hAnsi="仿宋_GB2312" w:eastAsia="仿宋_GB2312" w:cs="仿宋_GB2312"/>
          <w:b/>
          <w:bCs/>
          <w:sz w:val="30"/>
          <w:szCs w:val="30"/>
        </w:rPr>
        <w:t>附表</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按照编制技术要求，编制能源基地表、国家规划矿区表、重点勘查区表、重点开采区表、主要矿种矿山最低开采规模规划表。结合本轮规划需要，增加主要矿区（床）资源储量基本情况表、主要矿山开采利用现状表、探矿权现状表、采矿权现状表、公益性地质勘查项目简况表、建筑用石料矿产集中开采区划分表。</w:t>
      </w:r>
    </w:p>
    <w:p>
      <w:pPr>
        <w:keepNext w:val="0"/>
        <w:keepLines w:val="0"/>
        <w:pageBreakBefore w:val="0"/>
        <w:widowControl w:val="0"/>
        <w:kinsoku/>
        <w:wordWrap/>
        <w:overflowPunct/>
        <w:topLinePunct w:val="0"/>
        <w:autoSpaceDE/>
        <w:autoSpaceDN/>
        <w:bidi w:val="0"/>
        <w:adjustRightInd/>
        <w:snapToGrid/>
        <w:spacing w:line="560" w:lineRule="exact"/>
        <w:ind w:firstLine="602" w:firstLineChars="200"/>
        <w:textAlignment w:val="auto"/>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lang w:val="en-US" w:eastAsia="zh-CN"/>
        </w:rPr>
        <w:t>3.</w:t>
      </w:r>
      <w:r>
        <w:rPr>
          <w:rFonts w:hint="eastAsia" w:ascii="仿宋_GB2312" w:hAnsi="仿宋_GB2312" w:eastAsia="仿宋_GB2312" w:cs="仿宋_GB2312"/>
          <w:b/>
          <w:bCs/>
          <w:sz w:val="30"/>
          <w:szCs w:val="30"/>
        </w:rPr>
        <w:t>附图</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 w:hAnsi="仿宋" w:eastAsia="仿宋"/>
          <w:sz w:val="30"/>
          <w:szCs w:val="30"/>
        </w:rPr>
      </w:pPr>
      <w:r>
        <w:rPr>
          <w:rFonts w:hint="eastAsia" w:ascii="仿宋_GB2312" w:hAnsi="仿宋_GB2312" w:eastAsia="仿宋_GB2312" w:cs="仿宋_GB2312"/>
          <w:sz w:val="30"/>
          <w:szCs w:val="30"/>
        </w:rPr>
        <w:t>按照编制技术要求，编制矿产资源分布图、矿产资源开发利用现状图、矿产资源勘查开发保护总体布局图、矿产资源勘查规划图、矿产资源开采规划图。结合本轮规划需要，增加建筑用石料矿产资源集中开采区规划图。</w:t>
      </w:r>
    </w:p>
    <w:sectPr>
      <w:footerReference r:id="rId3" w:type="default"/>
      <w:pgSz w:w="11906" w:h="16838"/>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4544982"/>
      <w:docPartObj>
        <w:docPartGallery w:val="AutoText"/>
      </w:docPartObj>
    </w:sdtPr>
    <w:sdtEndPr>
      <w:rPr>
        <w:sz w:val="21"/>
        <w:szCs w:val="21"/>
      </w:rPr>
    </w:sdtEndPr>
    <w:sdtContent>
      <w:p>
        <w:pPr>
          <w:pStyle w:val="2"/>
          <w:jc w:val="center"/>
          <w:rPr>
            <w:rFonts w:hint="eastAsia"/>
            <w:sz w:val="21"/>
            <w:szCs w:val="21"/>
          </w:rP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E0NjFiYWQyZDk5YWQ3NDkyM2JiODQ3ZTdlMmMzMjQifQ=="/>
  </w:docVars>
  <w:rsids>
    <w:rsidRoot w:val="00D55E6E"/>
    <w:rsid w:val="00027863"/>
    <w:rsid w:val="000A5E8F"/>
    <w:rsid w:val="00434E1F"/>
    <w:rsid w:val="00470525"/>
    <w:rsid w:val="00522F69"/>
    <w:rsid w:val="00643B4F"/>
    <w:rsid w:val="00BF30E5"/>
    <w:rsid w:val="00D55E6E"/>
    <w:rsid w:val="00E46F79"/>
    <w:rsid w:val="00F340F0"/>
    <w:rsid w:val="053C6EDC"/>
    <w:rsid w:val="072C03D9"/>
    <w:rsid w:val="31FE63E8"/>
    <w:rsid w:val="36E45ED4"/>
    <w:rsid w:val="39064647"/>
    <w:rsid w:val="4D2F4E2E"/>
    <w:rsid w:val="4FD73056"/>
    <w:rsid w:val="50D92DFE"/>
    <w:rsid w:val="51134562"/>
    <w:rsid w:val="513E13B1"/>
    <w:rsid w:val="557C3450"/>
    <w:rsid w:val="59F45AD3"/>
    <w:rsid w:val="5D7D43C1"/>
    <w:rsid w:val="63B35731"/>
    <w:rsid w:val="7ADC59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uiPriority w:val="99"/>
    <w:rPr>
      <w:rFonts w:ascii="Times New Roman" w:hAnsi="Times New Roman" w:eastAsia="宋体" w:cs="Times New Roman"/>
      <w:sz w:val="18"/>
      <w:szCs w:val="18"/>
    </w:rPr>
  </w:style>
  <w:style w:type="character" w:customStyle="1" w:styleId="7">
    <w:name w:val="页脚 字符"/>
    <w:basedOn w:val="5"/>
    <w:link w:val="2"/>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387</Words>
  <Characters>2212</Characters>
  <Lines>18</Lines>
  <Paragraphs>5</Paragraphs>
  <TotalTime>46</TotalTime>
  <ScaleCrop>false</ScaleCrop>
  <LinksUpToDate>false</LinksUpToDate>
  <CharactersWithSpaces>2594</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2023-12-15T01:26:00Z</dcterms:created>
  <dc:creator>SINOMA601</dc:creator>
  <cp:lastModifiedBy>长大了可胖了</cp:lastModifiedBy>
  <dcterms:modified xsi:type="dcterms:W3CDTF">2023-12-15T08:19:25Z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8A93D2C88EDD49A7818E023EC5BD9337_12</vt:lpwstr>
  </property>
</Properties>
</file>