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FA3" w:rsidRPr="00925FA3" w:rsidRDefault="00925FA3" w:rsidP="00ED4651">
      <w:pPr>
        <w:spacing w:line="560" w:lineRule="exact"/>
        <w:jc w:val="center"/>
        <w:rPr>
          <w:rFonts w:ascii="宋体" w:hAnsi="宋体"/>
          <w:b/>
          <w:sz w:val="44"/>
          <w:szCs w:val="44"/>
        </w:rPr>
      </w:pPr>
      <w:r w:rsidRPr="00925FA3">
        <w:rPr>
          <w:rFonts w:ascii="宋体" w:hAnsi="宋体" w:hint="eastAsia"/>
          <w:b/>
          <w:sz w:val="44"/>
          <w:szCs w:val="44"/>
        </w:rPr>
        <w:t>沈阳市住宅</w:t>
      </w:r>
      <w:r w:rsidRPr="00925FA3">
        <w:rPr>
          <w:rFonts w:ascii="宋体" w:hAnsi="宋体"/>
          <w:b/>
          <w:sz w:val="44"/>
          <w:szCs w:val="44"/>
        </w:rPr>
        <w:t>用地供应</w:t>
      </w:r>
      <w:r w:rsidRPr="00925FA3">
        <w:rPr>
          <w:rFonts w:ascii="宋体" w:hAnsi="宋体" w:hint="eastAsia"/>
          <w:b/>
          <w:sz w:val="44"/>
          <w:szCs w:val="44"/>
        </w:rPr>
        <w:t>三年</w:t>
      </w:r>
      <w:r w:rsidRPr="00925FA3">
        <w:rPr>
          <w:rFonts w:ascii="宋体" w:hAnsi="宋体"/>
          <w:b/>
          <w:sz w:val="44"/>
          <w:szCs w:val="44"/>
        </w:rPr>
        <w:t>（</w:t>
      </w:r>
      <w:r w:rsidRPr="00925FA3">
        <w:rPr>
          <w:rFonts w:ascii="宋体" w:hAnsi="宋体" w:hint="eastAsia"/>
          <w:b/>
          <w:sz w:val="44"/>
          <w:szCs w:val="44"/>
        </w:rPr>
        <w:t>2021-2023年</w:t>
      </w:r>
      <w:r w:rsidRPr="00925FA3">
        <w:rPr>
          <w:rFonts w:ascii="宋体" w:hAnsi="宋体"/>
          <w:b/>
          <w:sz w:val="44"/>
          <w:szCs w:val="44"/>
        </w:rPr>
        <w:t>）</w:t>
      </w:r>
      <w:r w:rsidRPr="00925FA3">
        <w:rPr>
          <w:rFonts w:ascii="宋体" w:hAnsi="宋体" w:hint="eastAsia"/>
          <w:b/>
          <w:sz w:val="44"/>
          <w:szCs w:val="44"/>
        </w:rPr>
        <w:t>滚动</w:t>
      </w:r>
      <w:r w:rsidRPr="00925FA3">
        <w:rPr>
          <w:rFonts w:ascii="宋体" w:hAnsi="宋体"/>
          <w:b/>
          <w:sz w:val="44"/>
          <w:szCs w:val="44"/>
        </w:rPr>
        <w:t>计划</w:t>
      </w:r>
    </w:p>
    <w:p w:rsidR="00925FA3" w:rsidRDefault="00925FA3" w:rsidP="00ED4651">
      <w:pPr>
        <w:spacing w:line="560" w:lineRule="exact"/>
        <w:rPr>
          <w:sz w:val="32"/>
          <w:szCs w:val="32"/>
        </w:rPr>
      </w:pPr>
    </w:p>
    <w:p w:rsidR="00925FA3" w:rsidRDefault="00925FA3" w:rsidP="00ED4651">
      <w:pPr>
        <w:spacing w:line="560" w:lineRule="exact"/>
        <w:ind w:firstLineChars="200" w:firstLine="640"/>
        <w:outlineLvl w:val="0"/>
        <w:rPr>
          <w:rFonts w:eastAsia="黑体" w:hAnsi="黑体"/>
          <w:bCs/>
          <w:sz w:val="32"/>
          <w:szCs w:val="32"/>
        </w:rPr>
      </w:pPr>
      <w:r>
        <w:rPr>
          <w:rFonts w:eastAsia="黑体" w:hAnsi="黑体"/>
          <w:bCs/>
          <w:sz w:val="32"/>
          <w:szCs w:val="32"/>
        </w:rPr>
        <w:t>一、</w:t>
      </w:r>
      <w:r>
        <w:rPr>
          <w:rFonts w:eastAsia="黑体" w:hAnsi="黑体" w:hint="eastAsia"/>
          <w:bCs/>
          <w:sz w:val="32"/>
          <w:szCs w:val="32"/>
        </w:rPr>
        <w:t>编制目的</w:t>
      </w:r>
      <w:r>
        <w:rPr>
          <w:rFonts w:eastAsia="黑体" w:hAnsi="黑体"/>
          <w:bCs/>
          <w:sz w:val="32"/>
          <w:szCs w:val="32"/>
        </w:rPr>
        <w:t>和依据</w:t>
      </w:r>
    </w:p>
    <w:p w:rsidR="00925FA3" w:rsidRDefault="00925FA3" w:rsidP="00ED4651">
      <w:pPr>
        <w:spacing w:line="560" w:lineRule="exact"/>
        <w:ind w:firstLine="630"/>
        <w:rPr>
          <w:rFonts w:eastAsia="仿宋_GB2312"/>
          <w:sz w:val="32"/>
          <w:szCs w:val="32"/>
        </w:rPr>
      </w:pPr>
      <w:r>
        <w:rPr>
          <w:rFonts w:eastAsia="仿宋_GB2312" w:hint="eastAsia"/>
          <w:sz w:val="32"/>
          <w:szCs w:val="32"/>
        </w:rPr>
        <w:t>为全面贯彻党的</w:t>
      </w:r>
      <w:r>
        <w:rPr>
          <w:rFonts w:eastAsia="仿宋_GB2312"/>
          <w:sz w:val="32"/>
          <w:szCs w:val="32"/>
        </w:rPr>
        <w:t>十九届五中全会和中央经济工作</w:t>
      </w:r>
      <w:r>
        <w:rPr>
          <w:rFonts w:eastAsia="仿宋_GB2312" w:hint="eastAsia"/>
          <w:sz w:val="32"/>
          <w:szCs w:val="32"/>
        </w:rPr>
        <w:t>会议</w:t>
      </w:r>
      <w:r>
        <w:rPr>
          <w:rFonts w:eastAsia="仿宋_GB2312"/>
          <w:sz w:val="32"/>
          <w:szCs w:val="32"/>
        </w:rPr>
        <w:t>精神，</w:t>
      </w:r>
      <w:r>
        <w:rPr>
          <w:rFonts w:eastAsia="仿宋_GB2312" w:hint="eastAsia"/>
          <w:sz w:val="32"/>
          <w:szCs w:val="32"/>
        </w:rPr>
        <w:t>深入落实党中央、国务院关于房地产工作的决策部署，坚持房子是用来住的、不是用来炒的定位，坚持不</w:t>
      </w:r>
      <w:r>
        <w:rPr>
          <w:rFonts w:eastAsia="仿宋_GB2312"/>
          <w:sz w:val="32"/>
          <w:szCs w:val="32"/>
        </w:rPr>
        <w:t>将房地产作为短期刺激经济的手段，坚持稳地价、稳房价、稳预期，</w:t>
      </w:r>
      <w:r>
        <w:rPr>
          <w:rFonts w:eastAsia="仿宋_GB2312" w:hint="eastAsia"/>
          <w:sz w:val="32"/>
          <w:szCs w:val="32"/>
        </w:rPr>
        <w:t>加强和改进住房及用地供应管理，改善住房供求关系，促进沈阳市房地产市场平稳健康发展，按照《国务院</w:t>
      </w:r>
      <w:r>
        <w:rPr>
          <w:rFonts w:eastAsia="仿宋_GB2312"/>
          <w:sz w:val="32"/>
          <w:szCs w:val="32"/>
        </w:rPr>
        <w:t>办公厅关于加快发展</w:t>
      </w:r>
      <w:r>
        <w:rPr>
          <w:rFonts w:eastAsia="仿宋_GB2312" w:hint="eastAsia"/>
          <w:sz w:val="32"/>
          <w:szCs w:val="32"/>
        </w:rPr>
        <w:t>保障性</w:t>
      </w:r>
      <w:r>
        <w:rPr>
          <w:rFonts w:eastAsia="仿宋_GB2312"/>
          <w:sz w:val="32"/>
          <w:szCs w:val="32"/>
        </w:rPr>
        <w:t>租赁住房的意见</w:t>
      </w:r>
      <w:r>
        <w:rPr>
          <w:rFonts w:eastAsia="仿宋_GB2312" w:hint="eastAsia"/>
          <w:sz w:val="32"/>
          <w:szCs w:val="32"/>
        </w:rPr>
        <w:t>》（国办发〔</w:t>
      </w:r>
      <w:r>
        <w:rPr>
          <w:rFonts w:eastAsia="仿宋_GB2312"/>
          <w:sz w:val="32"/>
          <w:szCs w:val="32"/>
        </w:rPr>
        <w:t>2021</w:t>
      </w:r>
      <w:r>
        <w:rPr>
          <w:rFonts w:eastAsia="仿宋_GB2312" w:hint="eastAsia"/>
          <w:sz w:val="32"/>
          <w:szCs w:val="32"/>
        </w:rPr>
        <w:t>〕</w:t>
      </w:r>
      <w:r>
        <w:rPr>
          <w:rFonts w:eastAsia="仿宋_GB2312"/>
          <w:sz w:val="32"/>
          <w:szCs w:val="32"/>
        </w:rPr>
        <w:t>22</w:t>
      </w:r>
      <w:r>
        <w:rPr>
          <w:rFonts w:eastAsia="仿宋_GB2312" w:hint="eastAsia"/>
          <w:sz w:val="32"/>
          <w:szCs w:val="32"/>
        </w:rPr>
        <w:t>号）、《住房城乡</w:t>
      </w:r>
      <w:r>
        <w:rPr>
          <w:rFonts w:eastAsia="仿宋_GB2312"/>
          <w:sz w:val="32"/>
          <w:szCs w:val="32"/>
        </w:rPr>
        <w:t>建设</w:t>
      </w:r>
      <w:r>
        <w:rPr>
          <w:rFonts w:eastAsia="仿宋_GB2312" w:hint="eastAsia"/>
          <w:sz w:val="32"/>
          <w:szCs w:val="32"/>
        </w:rPr>
        <w:t>部、国土资源部关于加强近期住房及用地供应管理和调控有关工作的通知》（建房〔</w:t>
      </w:r>
      <w:r>
        <w:rPr>
          <w:rFonts w:eastAsia="仿宋_GB2312"/>
          <w:sz w:val="32"/>
          <w:szCs w:val="32"/>
        </w:rPr>
        <w:t>2017</w:t>
      </w:r>
      <w:r>
        <w:rPr>
          <w:rFonts w:eastAsia="仿宋_GB2312" w:hint="eastAsia"/>
          <w:sz w:val="32"/>
          <w:szCs w:val="32"/>
        </w:rPr>
        <w:t>〕</w:t>
      </w:r>
      <w:r>
        <w:rPr>
          <w:rFonts w:eastAsia="仿宋_GB2312"/>
          <w:sz w:val="32"/>
          <w:szCs w:val="32"/>
        </w:rPr>
        <w:t>80</w:t>
      </w:r>
      <w:r>
        <w:rPr>
          <w:rFonts w:eastAsia="仿宋_GB2312" w:hint="eastAsia"/>
          <w:sz w:val="32"/>
          <w:szCs w:val="32"/>
        </w:rPr>
        <w:t>号）以及自然资源部</w:t>
      </w:r>
      <w:r>
        <w:rPr>
          <w:rFonts w:eastAsia="仿宋_GB2312" w:hint="eastAsia"/>
          <w:sz w:val="32"/>
          <w:szCs w:val="32"/>
        </w:rPr>
        <w:t>2021</w:t>
      </w:r>
      <w:r>
        <w:rPr>
          <w:rFonts w:eastAsia="仿宋_GB2312" w:hint="eastAsia"/>
          <w:sz w:val="32"/>
          <w:szCs w:val="32"/>
        </w:rPr>
        <w:t>年住宅用地供应分类调控的有关要求</w:t>
      </w:r>
      <w:r>
        <w:rPr>
          <w:rFonts w:eastAsia="仿宋_GB2312"/>
          <w:sz w:val="32"/>
          <w:szCs w:val="32"/>
        </w:rPr>
        <w:t>，</w:t>
      </w:r>
      <w:r>
        <w:rPr>
          <w:rFonts w:eastAsia="仿宋_GB2312" w:hint="eastAsia"/>
          <w:sz w:val="32"/>
          <w:szCs w:val="32"/>
        </w:rPr>
        <w:t>结合《沈阳市</w:t>
      </w:r>
      <w:r>
        <w:rPr>
          <w:rFonts w:eastAsia="仿宋_GB2312"/>
          <w:sz w:val="32"/>
          <w:szCs w:val="32"/>
        </w:rPr>
        <w:t>202</w:t>
      </w:r>
      <w:r>
        <w:rPr>
          <w:rFonts w:eastAsia="仿宋_GB2312" w:hint="eastAsia"/>
          <w:sz w:val="32"/>
          <w:szCs w:val="32"/>
        </w:rPr>
        <w:t>1</w:t>
      </w:r>
      <w:r>
        <w:rPr>
          <w:rFonts w:eastAsia="仿宋_GB2312" w:hint="eastAsia"/>
          <w:sz w:val="32"/>
          <w:szCs w:val="32"/>
        </w:rPr>
        <w:t>年度国有建设用地供应计划》、</w:t>
      </w:r>
      <w:r>
        <w:rPr>
          <w:rFonts w:eastAsia="仿宋_GB2312"/>
          <w:sz w:val="32"/>
          <w:szCs w:val="32"/>
        </w:rPr>
        <w:t>《</w:t>
      </w:r>
      <w:r>
        <w:rPr>
          <w:rFonts w:eastAsia="仿宋_GB2312" w:hint="eastAsia"/>
          <w:sz w:val="32"/>
          <w:szCs w:val="32"/>
        </w:rPr>
        <w:t>沈阳市</w:t>
      </w:r>
      <w:r>
        <w:rPr>
          <w:rFonts w:eastAsia="仿宋_GB2312"/>
          <w:sz w:val="32"/>
          <w:szCs w:val="32"/>
        </w:rPr>
        <w:t>住房租赁试点工作方案》、《大力发展政策性租赁住房</w:t>
      </w:r>
      <w:r>
        <w:rPr>
          <w:rFonts w:eastAsia="仿宋_GB2312" w:hint="eastAsia"/>
          <w:sz w:val="32"/>
          <w:szCs w:val="32"/>
        </w:rPr>
        <w:t>吸引人才推进沈阳高质量发展的实施意见</w:t>
      </w:r>
      <w:r>
        <w:rPr>
          <w:rFonts w:eastAsia="仿宋_GB2312"/>
          <w:sz w:val="32"/>
          <w:szCs w:val="32"/>
        </w:rPr>
        <w:t>》</w:t>
      </w:r>
      <w:r>
        <w:rPr>
          <w:rFonts w:eastAsia="仿宋_GB2312" w:hint="eastAsia"/>
          <w:sz w:val="32"/>
          <w:szCs w:val="32"/>
        </w:rPr>
        <w:t>（沈房发〔</w:t>
      </w:r>
      <w:r>
        <w:rPr>
          <w:rFonts w:eastAsia="仿宋_GB2312"/>
          <w:sz w:val="32"/>
          <w:szCs w:val="32"/>
        </w:rPr>
        <w:t>2021</w:t>
      </w:r>
      <w:r>
        <w:rPr>
          <w:rFonts w:eastAsia="仿宋_GB2312" w:hint="eastAsia"/>
          <w:sz w:val="32"/>
          <w:szCs w:val="32"/>
        </w:rPr>
        <w:t>〕</w:t>
      </w:r>
      <w:r>
        <w:rPr>
          <w:rFonts w:eastAsia="仿宋_GB2312"/>
          <w:sz w:val="32"/>
          <w:szCs w:val="32"/>
        </w:rPr>
        <w:t>5</w:t>
      </w:r>
      <w:r>
        <w:rPr>
          <w:rFonts w:eastAsia="仿宋_GB2312" w:hint="eastAsia"/>
          <w:sz w:val="32"/>
          <w:szCs w:val="32"/>
        </w:rPr>
        <w:t>号）等</w:t>
      </w:r>
      <w:r>
        <w:rPr>
          <w:rFonts w:eastAsia="仿宋_GB2312"/>
          <w:sz w:val="32"/>
          <w:szCs w:val="32"/>
        </w:rPr>
        <w:t>，</w:t>
      </w:r>
      <w:r>
        <w:rPr>
          <w:rFonts w:eastAsia="仿宋_GB2312" w:hint="eastAsia"/>
          <w:sz w:val="32"/>
          <w:szCs w:val="32"/>
        </w:rPr>
        <w:t>在科学预测分析基础上，制定本计划</w:t>
      </w:r>
      <w:r>
        <w:rPr>
          <w:rFonts w:eastAsia="仿宋_GB2312"/>
          <w:sz w:val="32"/>
          <w:szCs w:val="32"/>
        </w:rPr>
        <w:t>。</w:t>
      </w:r>
    </w:p>
    <w:p w:rsidR="00925FA3" w:rsidRDefault="00925FA3" w:rsidP="00ED4651">
      <w:pPr>
        <w:spacing w:line="560" w:lineRule="exact"/>
        <w:ind w:firstLineChars="200" w:firstLine="640"/>
        <w:outlineLvl w:val="0"/>
        <w:rPr>
          <w:rFonts w:eastAsia="黑体" w:hAnsi="黑体"/>
          <w:bCs/>
          <w:sz w:val="32"/>
          <w:szCs w:val="32"/>
        </w:rPr>
      </w:pPr>
      <w:r>
        <w:rPr>
          <w:rFonts w:eastAsia="黑体" w:hAnsi="黑体" w:hint="eastAsia"/>
          <w:bCs/>
          <w:sz w:val="32"/>
          <w:szCs w:val="32"/>
        </w:rPr>
        <w:t>二、编制</w:t>
      </w:r>
      <w:r>
        <w:rPr>
          <w:rFonts w:eastAsia="黑体" w:hAnsi="黑体"/>
          <w:bCs/>
          <w:sz w:val="32"/>
          <w:szCs w:val="32"/>
        </w:rPr>
        <w:t>范围</w:t>
      </w:r>
      <w:r>
        <w:rPr>
          <w:rFonts w:eastAsia="黑体" w:hAnsi="黑体" w:hint="eastAsia"/>
          <w:bCs/>
          <w:sz w:val="32"/>
          <w:szCs w:val="32"/>
        </w:rPr>
        <w:t>和</w:t>
      </w:r>
      <w:r>
        <w:rPr>
          <w:rFonts w:eastAsia="黑体" w:hAnsi="黑体"/>
          <w:bCs/>
          <w:sz w:val="32"/>
          <w:szCs w:val="32"/>
        </w:rPr>
        <w:t>期限</w:t>
      </w:r>
    </w:p>
    <w:p w:rsidR="00925FA3" w:rsidRDefault="00925FA3" w:rsidP="00ED4651">
      <w:pPr>
        <w:spacing w:line="560" w:lineRule="exact"/>
        <w:ind w:firstLineChars="200" w:firstLine="640"/>
        <w:rPr>
          <w:rFonts w:eastAsia="仿宋_GB2312"/>
          <w:sz w:val="32"/>
          <w:szCs w:val="32"/>
        </w:rPr>
      </w:pPr>
      <w:r>
        <w:rPr>
          <w:rFonts w:eastAsia="仿宋_GB2312"/>
          <w:sz w:val="32"/>
          <w:szCs w:val="32"/>
        </w:rPr>
        <w:t>本</w:t>
      </w:r>
      <w:r>
        <w:rPr>
          <w:rFonts w:eastAsia="仿宋_GB2312" w:hint="eastAsia"/>
          <w:sz w:val="32"/>
          <w:szCs w:val="32"/>
        </w:rPr>
        <w:t>计划</w:t>
      </w:r>
      <w:r>
        <w:rPr>
          <w:rFonts w:eastAsia="仿宋_GB2312"/>
          <w:sz w:val="32"/>
          <w:szCs w:val="32"/>
        </w:rPr>
        <w:t>范围为沈阳市行政辖区内</w:t>
      </w:r>
      <w:r>
        <w:rPr>
          <w:rFonts w:eastAsia="仿宋_GB2312" w:hint="eastAsia"/>
          <w:sz w:val="32"/>
          <w:szCs w:val="32"/>
        </w:rPr>
        <w:t>计划期</w:t>
      </w:r>
      <w:r>
        <w:rPr>
          <w:rFonts w:eastAsia="仿宋_GB2312"/>
          <w:sz w:val="32"/>
          <w:szCs w:val="32"/>
        </w:rPr>
        <w:t>内供应的全部</w:t>
      </w:r>
      <w:r>
        <w:rPr>
          <w:rFonts w:eastAsia="仿宋_GB2312" w:hint="eastAsia"/>
          <w:sz w:val="32"/>
          <w:szCs w:val="32"/>
        </w:rPr>
        <w:t>住宅用地</w:t>
      </w:r>
      <w:r>
        <w:rPr>
          <w:rFonts w:eastAsia="仿宋_GB2312"/>
          <w:sz w:val="32"/>
          <w:szCs w:val="32"/>
        </w:rPr>
        <w:t>。</w:t>
      </w:r>
    </w:p>
    <w:p w:rsidR="00925FA3" w:rsidRDefault="00925FA3" w:rsidP="00ED4651">
      <w:pPr>
        <w:spacing w:line="560" w:lineRule="exact"/>
        <w:ind w:firstLineChars="200" w:firstLine="640"/>
        <w:rPr>
          <w:rFonts w:eastAsia="仿宋_GB2312"/>
          <w:sz w:val="32"/>
          <w:szCs w:val="32"/>
        </w:rPr>
      </w:pPr>
      <w:r>
        <w:rPr>
          <w:rFonts w:eastAsia="仿宋_GB2312"/>
          <w:sz w:val="32"/>
          <w:szCs w:val="32"/>
        </w:rPr>
        <w:t>本</w:t>
      </w:r>
      <w:r>
        <w:rPr>
          <w:rFonts w:eastAsia="仿宋_GB2312" w:hint="eastAsia"/>
          <w:sz w:val="32"/>
          <w:szCs w:val="32"/>
        </w:rPr>
        <w:t>计划</w:t>
      </w:r>
      <w:r>
        <w:rPr>
          <w:rFonts w:eastAsia="仿宋_GB2312"/>
          <w:sz w:val="32"/>
          <w:szCs w:val="32"/>
        </w:rPr>
        <w:t>期限为</w:t>
      </w:r>
      <w:r>
        <w:rPr>
          <w:rFonts w:eastAsia="仿宋_GB2312"/>
          <w:sz w:val="32"/>
          <w:szCs w:val="32"/>
        </w:rPr>
        <w:t>202</w:t>
      </w:r>
      <w:r>
        <w:rPr>
          <w:rFonts w:eastAsia="仿宋_GB2312" w:hint="eastAsia"/>
          <w:sz w:val="32"/>
          <w:szCs w:val="32"/>
        </w:rPr>
        <w:t>1</w:t>
      </w:r>
      <w:r>
        <w:rPr>
          <w:rFonts w:eastAsia="仿宋_GB2312" w:hint="eastAsia"/>
          <w:sz w:val="32"/>
          <w:szCs w:val="32"/>
        </w:rPr>
        <w:t>年至</w:t>
      </w:r>
      <w:r>
        <w:rPr>
          <w:rFonts w:eastAsia="仿宋_GB2312"/>
          <w:sz w:val="32"/>
          <w:szCs w:val="32"/>
        </w:rPr>
        <w:t>202</w:t>
      </w:r>
      <w:r>
        <w:rPr>
          <w:rFonts w:eastAsia="仿宋_GB2312" w:hint="eastAsia"/>
          <w:sz w:val="32"/>
          <w:szCs w:val="32"/>
        </w:rPr>
        <w:t>3</w:t>
      </w:r>
      <w:r>
        <w:rPr>
          <w:rFonts w:eastAsia="仿宋_GB2312"/>
          <w:sz w:val="32"/>
          <w:szCs w:val="32"/>
        </w:rPr>
        <w:t>年。</w:t>
      </w:r>
    </w:p>
    <w:p w:rsidR="00925FA3" w:rsidRDefault="00925FA3" w:rsidP="00ED4651">
      <w:pPr>
        <w:spacing w:line="560" w:lineRule="exact"/>
        <w:ind w:firstLineChars="200" w:firstLine="640"/>
        <w:outlineLvl w:val="0"/>
        <w:rPr>
          <w:rFonts w:eastAsia="黑体"/>
          <w:bCs/>
          <w:sz w:val="32"/>
          <w:szCs w:val="32"/>
        </w:rPr>
      </w:pPr>
      <w:r>
        <w:rPr>
          <w:rFonts w:eastAsia="黑体" w:hAnsi="黑体" w:hint="eastAsia"/>
          <w:bCs/>
          <w:sz w:val="32"/>
          <w:szCs w:val="32"/>
        </w:rPr>
        <w:t>三</w:t>
      </w:r>
      <w:r>
        <w:rPr>
          <w:rFonts w:eastAsia="黑体" w:hAnsi="黑体"/>
          <w:bCs/>
          <w:sz w:val="32"/>
          <w:szCs w:val="32"/>
        </w:rPr>
        <w:t>、</w:t>
      </w:r>
      <w:r>
        <w:rPr>
          <w:rFonts w:eastAsia="黑体" w:hAnsi="黑体" w:hint="eastAsia"/>
          <w:bCs/>
          <w:sz w:val="32"/>
          <w:szCs w:val="32"/>
        </w:rPr>
        <w:t>计划</w:t>
      </w:r>
      <w:r>
        <w:rPr>
          <w:rFonts w:eastAsia="黑体" w:hAnsi="黑体"/>
          <w:bCs/>
          <w:sz w:val="32"/>
          <w:szCs w:val="32"/>
        </w:rPr>
        <w:t>指标</w:t>
      </w:r>
    </w:p>
    <w:p w:rsidR="00925FA3" w:rsidRDefault="00925FA3" w:rsidP="00ED4651">
      <w:pPr>
        <w:spacing w:line="560" w:lineRule="exact"/>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1</w:t>
      </w:r>
      <w:r>
        <w:rPr>
          <w:rFonts w:ascii="仿宋" w:eastAsia="仿宋" w:hAnsi="仿宋"/>
          <w:sz w:val="32"/>
          <w:szCs w:val="32"/>
        </w:rPr>
        <w:t>-202</w:t>
      </w:r>
      <w:r>
        <w:rPr>
          <w:rFonts w:ascii="仿宋" w:eastAsia="仿宋" w:hAnsi="仿宋" w:hint="eastAsia"/>
          <w:sz w:val="32"/>
          <w:szCs w:val="32"/>
        </w:rPr>
        <w:t>3年全</w:t>
      </w:r>
      <w:r>
        <w:rPr>
          <w:rFonts w:ascii="仿宋" w:eastAsia="仿宋" w:hAnsi="仿宋"/>
          <w:sz w:val="32"/>
          <w:szCs w:val="32"/>
        </w:rPr>
        <w:t>市（含辽中区、新民市、康平县、法库</w:t>
      </w:r>
      <w:r>
        <w:rPr>
          <w:rFonts w:ascii="仿宋" w:eastAsia="仿宋" w:hAnsi="仿宋"/>
          <w:sz w:val="32"/>
          <w:szCs w:val="32"/>
        </w:rPr>
        <w:lastRenderedPageBreak/>
        <w:t>县）</w:t>
      </w:r>
      <w:r>
        <w:rPr>
          <w:rFonts w:ascii="仿宋" w:eastAsia="仿宋" w:hAnsi="仿宋" w:hint="eastAsia"/>
          <w:sz w:val="32"/>
          <w:szCs w:val="32"/>
        </w:rPr>
        <w:t>计划</w:t>
      </w:r>
      <w:r>
        <w:rPr>
          <w:rFonts w:ascii="仿宋" w:eastAsia="仿宋" w:hAnsi="仿宋"/>
          <w:sz w:val="32"/>
          <w:szCs w:val="32"/>
        </w:rPr>
        <w:t>供应住宅用地19</w:t>
      </w:r>
      <w:r>
        <w:rPr>
          <w:rFonts w:ascii="仿宋" w:eastAsia="仿宋" w:hAnsi="仿宋" w:hint="eastAsia"/>
          <w:sz w:val="32"/>
          <w:szCs w:val="32"/>
        </w:rPr>
        <w:t>84.2</w:t>
      </w:r>
      <w:r>
        <w:rPr>
          <w:rFonts w:ascii="仿宋" w:eastAsia="仿宋" w:hAnsi="仿宋"/>
          <w:sz w:val="32"/>
          <w:szCs w:val="32"/>
        </w:rPr>
        <w:t>公顷。</w:t>
      </w:r>
      <w:r>
        <w:rPr>
          <w:rFonts w:ascii="仿宋" w:eastAsia="仿宋" w:hAnsi="仿宋" w:hint="eastAsia"/>
          <w:sz w:val="32"/>
          <w:szCs w:val="32"/>
        </w:rPr>
        <w:t>其中，2</w:t>
      </w:r>
      <w:r>
        <w:rPr>
          <w:rFonts w:ascii="仿宋" w:eastAsia="仿宋" w:hAnsi="仿宋"/>
          <w:sz w:val="32"/>
          <w:szCs w:val="32"/>
        </w:rPr>
        <w:t>02</w:t>
      </w:r>
      <w:r>
        <w:rPr>
          <w:rFonts w:ascii="仿宋" w:eastAsia="仿宋" w:hAnsi="仿宋" w:hint="eastAsia"/>
          <w:sz w:val="32"/>
          <w:szCs w:val="32"/>
        </w:rPr>
        <w:t>1年计划</w:t>
      </w:r>
      <w:r>
        <w:rPr>
          <w:rFonts w:ascii="仿宋" w:eastAsia="仿宋" w:hAnsi="仿宋"/>
          <w:sz w:val="32"/>
          <w:szCs w:val="32"/>
        </w:rPr>
        <w:t>供应</w:t>
      </w:r>
      <w:r>
        <w:rPr>
          <w:rFonts w:ascii="仿宋" w:eastAsia="仿宋" w:hAnsi="仿宋" w:hint="eastAsia"/>
          <w:sz w:val="32"/>
          <w:szCs w:val="32"/>
        </w:rPr>
        <w:t>住宅用地600.0公顷</w:t>
      </w:r>
      <w:r>
        <w:rPr>
          <w:rFonts w:ascii="仿宋" w:eastAsia="仿宋" w:hAnsi="仿宋"/>
          <w:sz w:val="32"/>
          <w:szCs w:val="32"/>
        </w:rPr>
        <w:t>，占202</w:t>
      </w:r>
      <w:r>
        <w:rPr>
          <w:rFonts w:ascii="仿宋" w:eastAsia="仿宋" w:hAnsi="仿宋" w:hint="eastAsia"/>
          <w:sz w:val="32"/>
          <w:szCs w:val="32"/>
        </w:rPr>
        <w:t>1</w:t>
      </w:r>
      <w:r>
        <w:rPr>
          <w:rFonts w:ascii="仿宋" w:eastAsia="仿宋" w:hAnsi="仿宋"/>
          <w:sz w:val="32"/>
          <w:szCs w:val="32"/>
        </w:rPr>
        <w:t>-202</w:t>
      </w:r>
      <w:r>
        <w:rPr>
          <w:rFonts w:ascii="仿宋" w:eastAsia="仿宋" w:hAnsi="仿宋" w:hint="eastAsia"/>
          <w:sz w:val="32"/>
          <w:szCs w:val="32"/>
        </w:rPr>
        <w:t>3年全</w:t>
      </w:r>
      <w:r>
        <w:rPr>
          <w:rFonts w:ascii="仿宋" w:eastAsia="仿宋" w:hAnsi="仿宋"/>
          <w:sz w:val="32"/>
          <w:szCs w:val="32"/>
        </w:rPr>
        <w:t>市</w:t>
      </w:r>
      <w:r>
        <w:rPr>
          <w:rFonts w:ascii="仿宋" w:eastAsia="仿宋" w:hAnsi="仿宋" w:hint="eastAsia"/>
          <w:sz w:val="32"/>
          <w:szCs w:val="32"/>
        </w:rPr>
        <w:t>计划</w:t>
      </w:r>
      <w:r>
        <w:rPr>
          <w:rFonts w:ascii="仿宋" w:eastAsia="仿宋" w:hAnsi="仿宋"/>
          <w:sz w:val="32"/>
          <w:szCs w:val="32"/>
        </w:rPr>
        <w:t>供应</w:t>
      </w:r>
      <w:r>
        <w:rPr>
          <w:rFonts w:ascii="仿宋" w:eastAsia="仿宋" w:hAnsi="仿宋" w:hint="eastAsia"/>
          <w:sz w:val="32"/>
          <w:szCs w:val="32"/>
        </w:rPr>
        <w:t>住宅</w:t>
      </w:r>
      <w:r>
        <w:rPr>
          <w:rFonts w:ascii="仿宋" w:eastAsia="仿宋" w:hAnsi="仿宋"/>
          <w:sz w:val="32"/>
          <w:szCs w:val="32"/>
        </w:rPr>
        <w:t>用地</w:t>
      </w:r>
      <w:r>
        <w:rPr>
          <w:rFonts w:ascii="仿宋" w:eastAsia="仿宋" w:hAnsi="仿宋" w:hint="eastAsia"/>
          <w:sz w:val="32"/>
          <w:szCs w:val="32"/>
        </w:rPr>
        <w:t>总量</w:t>
      </w:r>
      <w:r>
        <w:rPr>
          <w:rFonts w:ascii="仿宋" w:eastAsia="仿宋" w:hAnsi="仿宋"/>
          <w:sz w:val="32"/>
          <w:szCs w:val="32"/>
        </w:rPr>
        <w:t>的</w:t>
      </w:r>
      <w:r>
        <w:rPr>
          <w:rFonts w:ascii="仿宋" w:eastAsia="仿宋" w:hAnsi="仿宋" w:hint="eastAsia"/>
          <w:sz w:val="32"/>
          <w:szCs w:val="32"/>
        </w:rPr>
        <w:t>30</w:t>
      </w:r>
      <w:r>
        <w:rPr>
          <w:rFonts w:ascii="仿宋" w:eastAsia="仿宋" w:hAnsi="仿宋"/>
          <w:sz w:val="32"/>
          <w:szCs w:val="32"/>
        </w:rPr>
        <w:t>%。</w:t>
      </w:r>
    </w:p>
    <w:p w:rsidR="00925FA3" w:rsidRDefault="00925FA3" w:rsidP="00ED4651">
      <w:pPr>
        <w:spacing w:line="560" w:lineRule="exact"/>
        <w:ind w:firstLineChars="200" w:firstLine="640"/>
        <w:outlineLvl w:val="0"/>
        <w:rPr>
          <w:rFonts w:eastAsia="黑体" w:hAnsi="黑体"/>
          <w:bCs/>
          <w:sz w:val="32"/>
          <w:szCs w:val="32"/>
        </w:rPr>
      </w:pPr>
      <w:r>
        <w:rPr>
          <w:rFonts w:eastAsia="黑体" w:hAnsi="黑体" w:hint="eastAsia"/>
          <w:bCs/>
          <w:sz w:val="32"/>
          <w:szCs w:val="32"/>
        </w:rPr>
        <w:t>四</w:t>
      </w:r>
      <w:r>
        <w:rPr>
          <w:rFonts w:eastAsia="黑体" w:hAnsi="黑体"/>
          <w:bCs/>
          <w:sz w:val="32"/>
          <w:szCs w:val="32"/>
        </w:rPr>
        <w:t>、保障措施</w:t>
      </w:r>
    </w:p>
    <w:p w:rsidR="00925FA3" w:rsidRPr="00ED4651" w:rsidRDefault="00925FA3" w:rsidP="00ED4651">
      <w:pPr>
        <w:spacing w:line="560" w:lineRule="exact"/>
        <w:ind w:firstLineChars="200" w:firstLine="640"/>
        <w:outlineLvl w:val="0"/>
        <w:rPr>
          <w:rFonts w:eastAsia="楷体"/>
          <w:bCs/>
          <w:sz w:val="32"/>
          <w:szCs w:val="32"/>
        </w:rPr>
      </w:pPr>
      <w:r w:rsidRPr="00ED4651">
        <w:rPr>
          <w:rFonts w:eastAsia="楷体" w:hAnsi="楷体"/>
          <w:bCs/>
          <w:sz w:val="32"/>
          <w:szCs w:val="32"/>
        </w:rPr>
        <w:t>（一）</w:t>
      </w:r>
      <w:r w:rsidRPr="00ED4651">
        <w:rPr>
          <w:rFonts w:eastAsia="楷体" w:hAnsi="楷体" w:hint="eastAsia"/>
          <w:bCs/>
          <w:sz w:val="32"/>
          <w:szCs w:val="32"/>
        </w:rPr>
        <w:t>有效落实住宅</w:t>
      </w:r>
      <w:r w:rsidRPr="00ED4651">
        <w:rPr>
          <w:rFonts w:eastAsia="楷体" w:hAnsi="楷体"/>
          <w:bCs/>
          <w:sz w:val="32"/>
          <w:szCs w:val="32"/>
        </w:rPr>
        <w:t>用地供应</w:t>
      </w:r>
      <w:r w:rsidRPr="00ED4651">
        <w:rPr>
          <w:rFonts w:eastAsia="楷体" w:hAnsi="楷体" w:hint="eastAsia"/>
          <w:bCs/>
          <w:sz w:val="32"/>
          <w:szCs w:val="32"/>
        </w:rPr>
        <w:t>计划</w:t>
      </w:r>
    </w:p>
    <w:p w:rsidR="00925FA3" w:rsidRDefault="00925FA3" w:rsidP="00ED4651">
      <w:pPr>
        <w:spacing w:line="560" w:lineRule="exact"/>
        <w:ind w:firstLineChars="200" w:firstLine="640"/>
        <w:rPr>
          <w:rFonts w:eastAsia="仿宋_GB2312"/>
          <w:sz w:val="32"/>
          <w:szCs w:val="32"/>
        </w:rPr>
      </w:pPr>
      <w:r>
        <w:rPr>
          <w:rFonts w:eastAsia="仿宋_GB2312" w:hint="eastAsia"/>
          <w:sz w:val="32"/>
          <w:szCs w:val="32"/>
        </w:rPr>
        <w:t>计划期内各级自然资源管理</w:t>
      </w:r>
      <w:r>
        <w:rPr>
          <w:rFonts w:eastAsia="仿宋_GB2312"/>
          <w:sz w:val="32"/>
          <w:szCs w:val="32"/>
        </w:rPr>
        <w:t>部门</w:t>
      </w:r>
      <w:r>
        <w:rPr>
          <w:rFonts w:eastAsia="仿宋_GB2312" w:hint="eastAsia"/>
          <w:sz w:val="32"/>
          <w:szCs w:val="32"/>
        </w:rPr>
        <w:t>应根据地方</w:t>
      </w:r>
      <w:r>
        <w:rPr>
          <w:rFonts w:eastAsia="仿宋_GB2312"/>
          <w:sz w:val="32"/>
          <w:szCs w:val="32"/>
        </w:rPr>
        <w:t>政府</w:t>
      </w:r>
      <w:r>
        <w:rPr>
          <w:rFonts w:eastAsia="仿宋_GB2312" w:hint="eastAsia"/>
          <w:sz w:val="32"/>
          <w:szCs w:val="32"/>
        </w:rPr>
        <w:t>相关工作</w:t>
      </w:r>
      <w:r>
        <w:rPr>
          <w:rFonts w:eastAsia="仿宋_GB2312"/>
          <w:sz w:val="32"/>
          <w:szCs w:val="32"/>
        </w:rPr>
        <w:t>部署，积极</w:t>
      </w:r>
      <w:r>
        <w:rPr>
          <w:rFonts w:eastAsia="仿宋_GB2312" w:hint="eastAsia"/>
          <w:sz w:val="32"/>
          <w:szCs w:val="32"/>
        </w:rPr>
        <w:t>做好</w:t>
      </w:r>
      <w:r>
        <w:rPr>
          <w:rFonts w:eastAsia="仿宋_GB2312"/>
          <w:sz w:val="32"/>
          <w:szCs w:val="32"/>
        </w:rPr>
        <w:t>住宅</w:t>
      </w:r>
      <w:r>
        <w:rPr>
          <w:rFonts w:eastAsia="仿宋_GB2312" w:hint="eastAsia"/>
          <w:sz w:val="32"/>
          <w:szCs w:val="32"/>
        </w:rPr>
        <w:t>项目</w:t>
      </w:r>
      <w:r>
        <w:rPr>
          <w:rFonts w:eastAsia="仿宋_GB2312"/>
          <w:sz w:val="32"/>
          <w:szCs w:val="32"/>
        </w:rPr>
        <w:t>用地供应工作，确保</w:t>
      </w:r>
      <w:r>
        <w:rPr>
          <w:rFonts w:eastAsia="仿宋_GB2312" w:hint="eastAsia"/>
          <w:sz w:val="32"/>
          <w:szCs w:val="32"/>
        </w:rPr>
        <w:t>严格</w:t>
      </w:r>
      <w:r>
        <w:rPr>
          <w:rFonts w:eastAsia="仿宋_GB2312"/>
          <w:sz w:val="32"/>
          <w:szCs w:val="32"/>
        </w:rPr>
        <w:t>实施住宅用地供应计划</w:t>
      </w:r>
      <w:r>
        <w:rPr>
          <w:rFonts w:eastAsia="仿宋_GB2312" w:hint="eastAsia"/>
          <w:sz w:val="32"/>
          <w:szCs w:val="32"/>
        </w:rPr>
        <w:t>，</w:t>
      </w:r>
      <w:r>
        <w:rPr>
          <w:rFonts w:eastAsia="仿宋_GB2312"/>
          <w:sz w:val="32"/>
          <w:szCs w:val="32"/>
        </w:rPr>
        <w:t>维护政府公信力。</w:t>
      </w:r>
    </w:p>
    <w:p w:rsidR="00925FA3" w:rsidRPr="00ED4651" w:rsidRDefault="00925FA3" w:rsidP="00ED4651">
      <w:pPr>
        <w:spacing w:line="560" w:lineRule="exact"/>
        <w:ind w:firstLineChars="200" w:firstLine="640"/>
        <w:outlineLvl w:val="0"/>
        <w:rPr>
          <w:rFonts w:eastAsia="楷体" w:hAnsi="楷体"/>
          <w:bCs/>
          <w:sz w:val="32"/>
          <w:szCs w:val="32"/>
        </w:rPr>
      </w:pPr>
      <w:r w:rsidRPr="00ED4651">
        <w:rPr>
          <w:rFonts w:eastAsia="楷体" w:hAnsi="楷体"/>
          <w:bCs/>
          <w:sz w:val="32"/>
          <w:szCs w:val="32"/>
        </w:rPr>
        <w:t>（二）加强</w:t>
      </w:r>
      <w:r w:rsidRPr="00ED4651">
        <w:rPr>
          <w:rFonts w:eastAsia="楷体" w:hAnsi="楷体" w:hint="eastAsia"/>
          <w:bCs/>
          <w:sz w:val="32"/>
          <w:szCs w:val="32"/>
        </w:rPr>
        <w:t>住宅用地</w:t>
      </w:r>
      <w:r w:rsidRPr="00ED4651">
        <w:rPr>
          <w:rFonts w:eastAsia="楷体" w:hAnsi="楷体"/>
          <w:bCs/>
          <w:sz w:val="32"/>
          <w:szCs w:val="32"/>
        </w:rPr>
        <w:t>供应计划实施</w:t>
      </w:r>
      <w:r w:rsidRPr="00ED4651">
        <w:rPr>
          <w:rFonts w:eastAsia="楷体" w:hAnsi="楷体" w:hint="eastAsia"/>
          <w:bCs/>
          <w:sz w:val="32"/>
          <w:szCs w:val="32"/>
        </w:rPr>
        <w:t>评估</w:t>
      </w:r>
    </w:p>
    <w:p w:rsidR="00925FA3" w:rsidRDefault="00925FA3" w:rsidP="00ED4651">
      <w:pPr>
        <w:spacing w:line="560" w:lineRule="exact"/>
        <w:ind w:firstLineChars="200" w:firstLine="640"/>
        <w:rPr>
          <w:rFonts w:eastAsia="仿宋_GB2312"/>
          <w:sz w:val="32"/>
          <w:szCs w:val="32"/>
        </w:rPr>
      </w:pPr>
      <w:r>
        <w:rPr>
          <w:rFonts w:eastAsia="仿宋_GB2312" w:hint="eastAsia"/>
          <w:sz w:val="32"/>
          <w:szCs w:val="32"/>
        </w:rPr>
        <w:t>及时</w:t>
      </w:r>
      <w:r>
        <w:rPr>
          <w:rFonts w:eastAsia="仿宋_GB2312"/>
          <w:sz w:val="32"/>
          <w:szCs w:val="32"/>
        </w:rPr>
        <w:t>了解房地产市场变化趋势，</w:t>
      </w:r>
      <w:r>
        <w:rPr>
          <w:rFonts w:eastAsia="仿宋_GB2312" w:hint="eastAsia"/>
          <w:sz w:val="32"/>
          <w:szCs w:val="32"/>
        </w:rPr>
        <w:t>科学</w:t>
      </w:r>
      <w:r>
        <w:rPr>
          <w:rFonts w:eastAsia="仿宋_GB2312"/>
          <w:sz w:val="32"/>
          <w:szCs w:val="32"/>
        </w:rPr>
        <w:t>分析住宅用地供应的实施情况，为</w:t>
      </w:r>
      <w:r>
        <w:rPr>
          <w:rFonts w:eastAsia="仿宋_GB2312" w:hint="eastAsia"/>
          <w:sz w:val="32"/>
          <w:szCs w:val="32"/>
        </w:rPr>
        <w:t>科学</w:t>
      </w:r>
      <w:r>
        <w:rPr>
          <w:rFonts w:eastAsia="仿宋_GB2312"/>
          <w:sz w:val="32"/>
          <w:szCs w:val="32"/>
        </w:rPr>
        <w:t>编制住宅用地供应计划提供参考，确保</w:t>
      </w:r>
      <w:r>
        <w:rPr>
          <w:rFonts w:eastAsia="仿宋_GB2312" w:hint="eastAsia"/>
          <w:sz w:val="32"/>
          <w:szCs w:val="32"/>
        </w:rPr>
        <w:t>住宅</w:t>
      </w:r>
      <w:r>
        <w:rPr>
          <w:rFonts w:eastAsia="仿宋_GB2312"/>
          <w:sz w:val="32"/>
          <w:szCs w:val="32"/>
        </w:rPr>
        <w:t>用地供应计划</w:t>
      </w:r>
      <w:r>
        <w:rPr>
          <w:rFonts w:eastAsia="仿宋_GB2312" w:hint="eastAsia"/>
          <w:sz w:val="32"/>
          <w:szCs w:val="32"/>
        </w:rPr>
        <w:t>对房地产市场</w:t>
      </w:r>
      <w:r>
        <w:rPr>
          <w:rFonts w:eastAsia="仿宋_GB2312"/>
          <w:sz w:val="32"/>
          <w:szCs w:val="32"/>
        </w:rPr>
        <w:t>的</w:t>
      </w:r>
      <w:r>
        <w:rPr>
          <w:rFonts w:eastAsia="仿宋_GB2312" w:hint="eastAsia"/>
          <w:sz w:val="32"/>
          <w:szCs w:val="32"/>
        </w:rPr>
        <w:t>调控作用</w:t>
      </w:r>
      <w:r>
        <w:rPr>
          <w:rFonts w:eastAsia="仿宋_GB2312"/>
          <w:sz w:val="32"/>
          <w:szCs w:val="32"/>
        </w:rPr>
        <w:t>得到有效</w:t>
      </w:r>
      <w:r>
        <w:rPr>
          <w:rFonts w:eastAsia="仿宋_GB2312" w:hint="eastAsia"/>
          <w:sz w:val="32"/>
          <w:szCs w:val="32"/>
        </w:rPr>
        <w:t>发挥</w:t>
      </w:r>
      <w:r>
        <w:rPr>
          <w:rFonts w:eastAsia="仿宋_GB2312"/>
          <w:sz w:val="32"/>
          <w:szCs w:val="32"/>
        </w:rPr>
        <w:t>。</w:t>
      </w:r>
    </w:p>
    <w:p w:rsidR="00925FA3" w:rsidRPr="00ED4651" w:rsidRDefault="00925FA3" w:rsidP="00ED4651">
      <w:pPr>
        <w:spacing w:line="560" w:lineRule="exact"/>
        <w:ind w:firstLineChars="200" w:firstLine="640"/>
        <w:outlineLvl w:val="0"/>
        <w:rPr>
          <w:rFonts w:eastAsia="楷体" w:hAnsi="楷体"/>
          <w:bCs/>
          <w:sz w:val="32"/>
          <w:szCs w:val="32"/>
        </w:rPr>
      </w:pPr>
      <w:r w:rsidRPr="00ED4651">
        <w:rPr>
          <w:rFonts w:eastAsia="楷体" w:hAnsi="楷体" w:hint="eastAsia"/>
          <w:bCs/>
          <w:sz w:val="32"/>
          <w:szCs w:val="32"/>
        </w:rPr>
        <w:t>（三）按时完成土地利用动态监测系统报备</w:t>
      </w:r>
    </w:p>
    <w:p w:rsidR="00925FA3" w:rsidRDefault="00925FA3" w:rsidP="00ED4651">
      <w:pPr>
        <w:spacing w:line="560" w:lineRule="exact"/>
        <w:ind w:firstLineChars="200" w:firstLine="640"/>
        <w:jc w:val="left"/>
        <w:rPr>
          <w:rFonts w:eastAsia="仿宋_GB2312"/>
          <w:sz w:val="32"/>
          <w:szCs w:val="32"/>
        </w:rPr>
        <w:sectPr w:rsidR="00925FA3">
          <w:pgSz w:w="11906" w:h="16838"/>
          <w:pgMar w:top="1440" w:right="1800" w:bottom="1440" w:left="1800" w:header="851" w:footer="992" w:gutter="0"/>
          <w:cols w:space="720"/>
          <w:docGrid w:type="lines" w:linePitch="312"/>
        </w:sectPr>
      </w:pPr>
      <w:r>
        <w:rPr>
          <w:rFonts w:eastAsia="仿宋_GB2312" w:hint="eastAsia"/>
          <w:sz w:val="32"/>
          <w:szCs w:val="32"/>
        </w:rPr>
        <w:t>康平、法库、新民等三县（市）应按</w:t>
      </w:r>
      <w:r>
        <w:rPr>
          <w:rFonts w:eastAsia="仿宋_GB2312"/>
          <w:sz w:val="32"/>
          <w:szCs w:val="32"/>
        </w:rPr>
        <w:t>自然资源部要求</w:t>
      </w:r>
      <w:r>
        <w:rPr>
          <w:rFonts w:eastAsia="仿宋_GB2312" w:hint="eastAsia"/>
          <w:sz w:val="32"/>
          <w:szCs w:val="32"/>
        </w:rPr>
        <w:t>将本地区计划录入土地市场动态监测与监管系统（录入位置：“住宅用地分类调控”——“分类调控”），其他区计划由市本级统一录入。</w:t>
      </w:r>
    </w:p>
    <w:p w:rsidR="00925FA3" w:rsidRDefault="00925FA3">
      <w:pPr>
        <w:spacing w:line="560" w:lineRule="exact"/>
        <w:jc w:val="center"/>
        <w:rPr>
          <w:rFonts w:eastAsia="仿宋_GB2312"/>
          <w:b/>
          <w:sz w:val="32"/>
          <w:szCs w:val="32"/>
        </w:rPr>
      </w:pPr>
      <w:r>
        <w:rPr>
          <w:rFonts w:eastAsia="仿宋_GB2312"/>
          <w:b/>
          <w:sz w:val="32"/>
          <w:szCs w:val="32"/>
        </w:rPr>
        <w:lastRenderedPageBreak/>
        <w:t>沈阳市</w:t>
      </w:r>
      <w:r>
        <w:rPr>
          <w:rFonts w:eastAsia="仿宋_GB2312" w:hint="eastAsia"/>
          <w:b/>
          <w:sz w:val="32"/>
          <w:szCs w:val="32"/>
        </w:rPr>
        <w:t>住宅</w:t>
      </w:r>
      <w:r>
        <w:rPr>
          <w:rFonts w:eastAsia="仿宋_GB2312"/>
          <w:b/>
          <w:sz w:val="32"/>
          <w:szCs w:val="32"/>
        </w:rPr>
        <w:t>用地供应三年（</w:t>
      </w:r>
      <w:r>
        <w:rPr>
          <w:rFonts w:eastAsia="仿宋_GB2312"/>
          <w:b/>
          <w:sz w:val="32"/>
          <w:szCs w:val="32"/>
        </w:rPr>
        <w:t>202</w:t>
      </w:r>
      <w:r>
        <w:rPr>
          <w:rFonts w:eastAsia="仿宋_GB2312" w:hint="eastAsia"/>
          <w:b/>
          <w:sz w:val="32"/>
          <w:szCs w:val="32"/>
        </w:rPr>
        <w:t>1-2023</w:t>
      </w:r>
      <w:r>
        <w:rPr>
          <w:rFonts w:eastAsia="仿宋_GB2312"/>
          <w:b/>
          <w:sz w:val="32"/>
          <w:szCs w:val="32"/>
        </w:rPr>
        <w:t>年）</w:t>
      </w:r>
      <w:r>
        <w:rPr>
          <w:rFonts w:eastAsia="仿宋_GB2312" w:hint="eastAsia"/>
          <w:b/>
          <w:sz w:val="32"/>
          <w:szCs w:val="32"/>
        </w:rPr>
        <w:t>滚动</w:t>
      </w:r>
      <w:r>
        <w:rPr>
          <w:rFonts w:eastAsia="仿宋_GB2312"/>
          <w:b/>
          <w:sz w:val="32"/>
          <w:szCs w:val="32"/>
        </w:rPr>
        <w:t>计划表</w:t>
      </w:r>
    </w:p>
    <w:p w:rsidR="00925FA3" w:rsidRDefault="00925FA3">
      <w:pPr>
        <w:spacing w:line="560" w:lineRule="exact"/>
        <w:jc w:val="right"/>
        <w:rPr>
          <w:rFonts w:ascii="宋体" w:hAnsi="宋体"/>
          <w:sz w:val="24"/>
        </w:rPr>
      </w:pPr>
      <w:r>
        <w:rPr>
          <w:rFonts w:ascii="宋体" w:hAnsi="宋体" w:hint="eastAsia"/>
          <w:sz w:val="24"/>
        </w:rPr>
        <w:t>单位：公顷</w:t>
      </w:r>
    </w:p>
    <w:tbl>
      <w:tblPr>
        <w:tblW w:w="0" w:type="auto"/>
        <w:tblLayout w:type="fixed"/>
        <w:tblLook w:val="04A0"/>
      </w:tblPr>
      <w:tblGrid>
        <w:gridCol w:w="1289"/>
        <w:gridCol w:w="1289"/>
        <w:gridCol w:w="1290"/>
        <w:gridCol w:w="1290"/>
        <w:gridCol w:w="1290"/>
        <w:gridCol w:w="1290"/>
        <w:gridCol w:w="1290"/>
        <w:gridCol w:w="1290"/>
        <w:gridCol w:w="1290"/>
        <w:gridCol w:w="1290"/>
        <w:gridCol w:w="1276"/>
      </w:tblGrid>
      <w:tr w:rsidR="00925FA3">
        <w:trPr>
          <w:trHeight w:val="600"/>
        </w:trPr>
        <w:tc>
          <w:tcPr>
            <w:tcW w:w="1289" w:type="dxa"/>
            <w:vMerge w:val="restart"/>
            <w:tcBorders>
              <w:top w:val="single" w:sz="4" w:space="0" w:color="auto"/>
              <w:left w:val="single" w:sz="4" w:space="0" w:color="auto"/>
              <w:bottom w:val="single" w:sz="4" w:space="0" w:color="000000"/>
              <w:right w:val="single" w:sz="4" w:space="0" w:color="auto"/>
            </w:tcBorders>
            <w:vAlign w:val="center"/>
          </w:tcPr>
          <w:p w:rsidR="00925FA3" w:rsidRDefault="00925FA3" w:rsidP="00ED4651">
            <w:pPr>
              <w:widowControl/>
              <w:spacing w:line="560" w:lineRule="exact"/>
              <w:jc w:val="center"/>
              <w:rPr>
                <w:b/>
                <w:bCs/>
                <w:color w:val="000000"/>
                <w:kern w:val="0"/>
                <w:sz w:val="24"/>
              </w:rPr>
            </w:pPr>
            <w:r>
              <w:rPr>
                <w:b/>
                <w:bCs/>
                <w:color w:val="000000"/>
                <w:kern w:val="0"/>
                <w:sz w:val="24"/>
              </w:rPr>
              <w:t>市县</w:t>
            </w:r>
          </w:p>
        </w:tc>
        <w:tc>
          <w:tcPr>
            <w:tcW w:w="6449" w:type="dxa"/>
            <w:gridSpan w:val="5"/>
            <w:tcBorders>
              <w:top w:val="single" w:sz="4" w:space="0" w:color="auto"/>
              <w:left w:val="nil"/>
              <w:bottom w:val="single" w:sz="4" w:space="0" w:color="auto"/>
              <w:right w:val="single" w:sz="4" w:space="0" w:color="000000"/>
            </w:tcBorders>
            <w:vAlign w:val="center"/>
          </w:tcPr>
          <w:p w:rsidR="00925FA3" w:rsidRDefault="00925FA3" w:rsidP="00ED4651">
            <w:pPr>
              <w:widowControl/>
              <w:spacing w:line="560" w:lineRule="exact"/>
              <w:jc w:val="center"/>
              <w:rPr>
                <w:b/>
                <w:bCs/>
                <w:color w:val="000000"/>
                <w:kern w:val="0"/>
                <w:sz w:val="24"/>
              </w:rPr>
            </w:pPr>
            <w:r>
              <w:rPr>
                <w:b/>
                <w:bCs/>
                <w:color w:val="000000"/>
                <w:kern w:val="0"/>
                <w:sz w:val="24"/>
              </w:rPr>
              <w:t>202</w:t>
            </w:r>
            <w:r>
              <w:rPr>
                <w:rFonts w:hint="eastAsia"/>
                <w:b/>
                <w:bCs/>
                <w:color w:val="000000"/>
                <w:kern w:val="0"/>
                <w:sz w:val="24"/>
              </w:rPr>
              <w:t>1</w:t>
            </w:r>
            <w:r>
              <w:rPr>
                <w:b/>
                <w:bCs/>
                <w:color w:val="000000"/>
                <w:kern w:val="0"/>
                <w:sz w:val="24"/>
              </w:rPr>
              <w:t>年度计划</w:t>
            </w:r>
          </w:p>
        </w:tc>
        <w:tc>
          <w:tcPr>
            <w:tcW w:w="6436" w:type="dxa"/>
            <w:gridSpan w:val="5"/>
            <w:tcBorders>
              <w:top w:val="single" w:sz="4" w:space="0" w:color="auto"/>
              <w:left w:val="nil"/>
              <w:bottom w:val="single" w:sz="4" w:space="0" w:color="auto"/>
              <w:right w:val="single" w:sz="4" w:space="0" w:color="auto"/>
            </w:tcBorders>
            <w:vAlign w:val="center"/>
          </w:tcPr>
          <w:p w:rsidR="00925FA3" w:rsidRDefault="00925FA3" w:rsidP="00ED4651">
            <w:pPr>
              <w:widowControl/>
              <w:spacing w:line="560" w:lineRule="exact"/>
              <w:jc w:val="center"/>
              <w:rPr>
                <w:b/>
                <w:bCs/>
                <w:color w:val="000000"/>
                <w:kern w:val="0"/>
                <w:sz w:val="24"/>
              </w:rPr>
            </w:pPr>
            <w:r>
              <w:rPr>
                <w:b/>
                <w:bCs/>
                <w:color w:val="000000"/>
                <w:kern w:val="0"/>
                <w:sz w:val="24"/>
              </w:rPr>
              <w:t>3</w:t>
            </w:r>
            <w:r>
              <w:rPr>
                <w:b/>
                <w:bCs/>
                <w:color w:val="000000"/>
                <w:kern w:val="0"/>
                <w:sz w:val="24"/>
              </w:rPr>
              <w:t>年滚动计划（</w:t>
            </w:r>
            <w:r>
              <w:rPr>
                <w:b/>
                <w:bCs/>
                <w:color w:val="000000"/>
                <w:kern w:val="0"/>
                <w:sz w:val="24"/>
              </w:rPr>
              <w:t>202</w:t>
            </w:r>
            <w:r>
              <w:rPr>
                <w:rFonts w:hint="eastAsia"/>
                <w:b/>
                <w:bCs/>
                <w:color w:val="000000"/>
                <w:kern w:val="0"/>
                <w:sz w:val="24"/>
              </w:rPr>
              <w:t>1</w:t>
            </w:r>
            <w:r>
              <w:rPr>
                <w:b/>
                <w:bCs/>
                <w:color w:val="000000"/>
                <w:kern w:val="0"/>
                <w:sz w:val="24"/>
              </w:rPr>
              <w:t>-202</w:t>
            </w:r>
            <w:r>
              <w:rPr>
                <w:rFonts w:hint="eastAsia"/>
                <w:b/>
                <w:bCs/>
                <w:color w:val="000000"/>
                <w:kern w:val="0"/>
                <w:sz w:val="24"/>
              </w:rPr>
              <w:t>3</w:t>
            </w:r>
            <w:r>
              <w:rPr>
                <w:rFonts w:hint="eastAsia"/>
                <w:b/>
                <w:bCs/>
                <w:color w:val="000000"/>
                <w:kern w:val="0"/>
                <w:sz w:val="24"/>
              </w:rPr>
              <w:t>年</w:t>
            </w:r>
            <w:r>
              <w:rPr>
                <w:b/>
                <w:bCs/>
                <w:color w:val="000000"/>
                <w:kern w:val="0"/>
                <w:sz w:val="24"/>
              </w:rPr>
              <w:t>）</w:t>
            </w:r>
          </w:p>
        </w:tc>
      </w:tr>
      <w:tr w:rsidR="00925FA3">
        <w:trPr>
          <w:trHeight w:val="582"/>
        </w:trPr>
        <w:tc>
          <w:tcPr>
            <w:tcW w:w="1289" w:type="dxa"/>
            <w:vMerge/>
            <w:tcBorders>
              <w:top w:val="single" w:sz="4" w:space="0" w:color="auto"/>
              <w:left w:val="single" w:sz="4" w:space="0" w:color="auto"/>
              <w:bottom w:val="single" w:sz="4" w:space="0" w:color="000000"/>
              <w:right w:val="single" w:sz="4" w:space="0" w:color="auto"/>
            </w:tcBorders>
            <w:vAlign w:val="center"/>
          </w:tcPr>
          <w:p w:rsidR="00925FA3" w:rsidRDefault="00925FA3" w:rsidP="00ED4651">
            <w:pPr>
              <w:widowControl/>
              <w:spacing w:line="560" w:lineRule="exact"/>
              <w:jc w:val="left"/>
              <w:rPr>
                <w:b/>
                <w:bCs/>
                <w:color w:val="000000"/>
                <w:kern w:val="0"/>
                <w:sz w:val="24"/>
              </w:rPr>
            </w:pPr>
          </w:p>
        </w:tc>
        <w:tc>
          <w:tcPr>
            <w:tcW w:w="2579" w:type="dxa"/>
            <w:gridSpan w:val="2"/>
            <w:tcBorders>
              <w:top w:val="single" w:sz="4" w:space="0" w:color="auto"/>
              <w:left w:val="nil"/>
              <w:bottom w:val="single" w:sz="4" w:space="0" w:color="auto"/>
              <w:right w:val="single" w:sz="4" w:space="0" w:color="auto"/>
            </w:tcBorders>
            <w:vAlign w:val="center"/>
          </w:tcPr>
          <w:p w:rsidR="00925FA3" w:rsidRDefault="00925FA3" w:rsidP="00ED4651">
            <w:pPr>
              <w:widowControl/>
              <w:spacing w:line="560" w:lineRule="exact"/>
              <w:jc w:val="center"/>
              <w:rPr>
                <w:b/>
                <w:bCs/>
                <w:color w:val="000000"/>
                <w:kern w:val="0"/>
                <w:sz w:val="24"/>
              </w:rPr>
            </w:pPr>
            <w:r>
              <w:rPr>
                <w:b/>
                <w:bCs/>
                <w:color w:val="000000"/>
                <w:kern w:val="0"/>
                <w:sz w:val="24"/>
              </w:rPr>
              <w:t>国有</w:t>
            </w:r>
          </w:p>
        </w:tc>
        <w:tc>
          <w:tcPr>
            <w:tcW w:w="1290" w:type="dxa"/>
            <w:vMerge w:val="restart"/>
            <w:tcBorders>
              <w:top w:val="nil"/>
              <w:left w:val="single" w:sz="4" w:space="0" w:color="auto"/>
              <w:bottom w:val="single" w:sz="4" w:space="0" w:color="auto"/>
              <w:right w:val="single" w:sz="4" w:space="0" w:color="auto"/>
            </w:tcBorders>
            <w:vAlign w:val="center"/>
          </w:tcPr>
          <w:p w:rsidR="00925FA3" w:rsidRDefault="00925FA3" w:rsidP="00ED4651">
            <w:pPr>
              <w:widowControl/>
              <w:spacing w:line="560" w:lineRule="exact"/>
              <w:jc w:val="center"/>
              <w:rPr>
                <w:b/>
                <w:bCs/>
                <w:color w:val="000000"/>
                <w:kern w:val="0"/>
                <w:sz w:val="24"/>
              </w:rPr>
            </w:pPr>
            <w:r>
              <w:rPr>
                <w:b/>
                <w:bCs/>
                <w:color w:val="000000"/>
                <w:kern w:val="0"/>
                <w:sz w:val="24"/>
              </w:rPr>
              <w:t>集体</w:t>
            </w:r>
          </w:p>
        </w:tc>
        <w:tc>
          <w:tcPr>
            <w:tcW w:w="2580" w:type="dxa"/>
            <w:gridSpan w:val="2"/>
            <w:tcBorders>
              <w:top w:val="single" w:sz="4" w:space="0" w:color="auto"/>
              <w:left w:val="nil"/>
              <w:bottom w:val="single" w:sz="4" w:space="0" w:color="000000"/>
              <w:right w:val="single" w:sz="4" w:space="0" w:color="000000"/>
            </w:tcBorders>
            <w:vAlign w:val="center"/>
          </w:tcPr>
          <w:p w:rsidR="00925FA3" w:rsidRDefault="00925FA3" w:rsidP="00ED4651">
            <w:pPr>
              <w:widowControl/>
              <w:spacing w:line="560" w:lineRule="exact"/>
              <w:jc w:val="center"/>
              <w:rPr>
                <w:b/>
                <w:bCs/>
                <w:color w:val="000000"/>
                <w:kern w:val="0"/>
                <w:sz w:val="24"/>
              </w:rPr>
            </w:pPr>
            <w:r>
              <w:rPr>
                <w:b/>
                <w:bCs/>
                <w:color w:val="000000"/>
                <w:kern w:val="0"/>
                <w:sz w:val="24"/>
              </w:rPr>
              <w:t>合计</w:t>
            </w:r>
          </w:p>
        </w:tc>
        <w:tc>
          <w:tcPr>
            <w:tcW w:w="2580" w:type="dxa"/>
            <w:gridSpan w:val="2"/>
            <w:tcBorders>
              <w:top w:val="single" w:sz="4" w:space="0" w:color="auto"/>
              <w:left w:val="nil"/>
              <w:bottom w:val="single" w:sz="4" w:space="0" w:color="auto"/>
              <w:right w:val="single" w:sz="4" w:space="0" w:color="auto"/>
            </w:tcBorders>
            <w:vAlign w:val="center"/>
          </w:tcPr>
          <w:p w:rsidR="00925FA3" w:rsidRDefault="00925FA3" w:rsidP="00ED4651">
            <w:pPr>
              <w:widowControl/>
              <w:spacing w:line="560" w:lineRule="exact"/>
              <w:jc w:val="center"/>
              <w:rPr>
                <w:b/>
                <w:bCs/>
                <w:color w:val="000000"/>
                <w:kern w:val="0"/>
                <w:sz w:val="24"/>
              </w:rPr>
            </w:pPr>
            <w:r>
              <w:rPr>
                <w:b/>
                <w:bCs/>
                <w:color w:val="000000"/>
                <w:kern w:val="0"/>
                <w:sz w:val="24"/>
              </w:rPr>
              <w:t>国有</w:t>
            </w:r>
          </w:p>
        </w:tc>
        <w:tc>
          <w:tcPr>
            <w:tcW w:w="1290" w:type="dxa"/>
            <w:vMerge w:val="restart"/>
            <w:tcBorders>
              <w:top w:val="nil"/>
              <w:left w:val="single" w:sz="4" w:space="0" w:color="auto"/>
              <w:bottom w:val="single" w:sz="4" w:space="0" w:color="auto"/>
              <w:right w:val="single" w:sz="4" w:space="0" w:color="auto"/>
            </w:tcBorders>
            <w:vAlign w:val="center"/>
          </w:tcPr>
          <w:p w:rsidR="00925FA3" w:rsidRDefault="00925FA3" w:rsidP="00ED4651">
            <w:pPr>
              <w:widowControl/>
              <w:spacing w:line="560" w:lineRule="exact"/>
              <w:jc w:val="center"/>
              <w:rPr>
                <w:b/>
                <w:bCs/>
                <w:color w:val="000000"/>
                <w:kern w:val="0"/>
                <w:sz w:val="24"/>
              </w:rPr>
            </w:pPr>
            <w:r>
              <w:rPr>
                <w:b/>
                <w:bCs/>
                <w:color w:val="000000"/>
                <w:kern w:val="0"/>
                <w:sz w:val="24"/>
              </w:rPr>
              <w:t>集体</w:t>
            </w:r>
          </w:p>
        </w:tc>
        <w:tc>
          <w:tcPr>
            <w:tcW w:w="2566" w:type="dxa"/>
            <w:gridSpan w:val="2"/>
            <w:tcBorders>
              <w:top w:val="single" w:sz="4" w:space="0" w:color="auto"/>
              <w:left w:val="nil"/>
              <w:bottom w:val="single" w:sz="4" w:space="0" w:color="000000"/>
              <w:right w:val="single" w:sz="4" w:space="0" w:color="000000"/>
            </w:tcBorders>
            <w:vAlign w:val="center"/>
          </w:tcPr>
          <w:p w:rsidR="00925FA3" w:rsidRDefault="00925FA3" w:rsidP="00ED4651">
            <w:pPr>
              <w:widowControl/>
              <w:spacing w:line="560" w:lineRule="exact"/>
              <w:jc w:val="center"/>
              <w:rPr>
                <w:b/>
                <w:bCs/>
                <w:color w:val="000000"/>
                <w:kern w:val="0"/>
                <w:sz w:val="24"/>
              </w:rPr>
            </w:pPr>
            <w:r>
              <w:rPr>
                <w:b/>
                <w:bCs/>
                <w:color w:val="000000"/>
                <w:kern w:val="0"/>
                <w:sz w:val="24"/>
              </w:rPr>
              <w:t>合计</w:t>
            </w:r>
          </w:p>
        </w:tc>
      </w:tr>
      <w:tr w:rsidR="00925FA3">
        <w:trPr>
          <w:trHeight w:val="750"/>
        </w:trPr>
        <w:tc>
          <w:tcPr>
            <w:tcW w:w="1289" w:type="dxa"/>
            <w:vMerge/>
            <w:tcBorders>
              <w:top w:val="single" w:sz="4" w:space="0" w:color="auto"/>
              <w:left w:val="single" w:sz="4" w:space="0" w:color="auto"/>
              <w:bottom w:val="single" w:sz="4" w:space="0" w:color="000000"/>
              <w:right w:val="single" w:sz="4" w:space="0" w:color="auto"/>
            </w:tcBorders>
            <w:vAlign w:val="center"/>
          </w:tcPr>
          <w:p w:rsidR="00925FA3" w:rsidRDefault="00925FA3" w:rsidP="00ED4651">
            <w:pPr>
              <w:widowControl/>
              <w:spacing w:line="560" w:lineRule="exact"/>
              <w:jc w:val="left"/>
              <w:rPr>
                <w:b/>
                <w:bCs/>
                <w:color w:val="000000"/>
                <w:kern w:val="0"/>
                <w:sz w:val="24"/>
              </w:rPr>
            </w:pPr>
          </w:p>
        </w:tc>
        <w:tc>
          <w:tcPr>
            <w:tcW w:w="1289" w:type="dxa"/>
            <w:tcBorders>
              <w:top w:val="nil"/>
              <w:left w:val="nil"/>
              <w:bottom w:val="single" w:sz="4" w:space="0" w:color="auto"/>
              <w:right w:val="single" w:sz="4" w:space="0" w:color="auto"/>
            </w:tcBorders>
            <w:vAlign w:val="center"/>
          </w:tcPr>
          <w:p w:rsidR="00925FA3" w:rsidRDefault="00925FA3" w:rsidP="00ED4651">
            <w:pPr>
              <w:widowControl/>
              <w:spacing w:line="560" w:lineRule="exact"/>
              <w:jc w:val="center"/>
              <w:rPr>
                <w:b/>
                <w:bCs/>
                <w:color w:val="000000"/>
                <w:kern w:val="0"/>
                <w:sz w:val="24"/>
              </w:rPr>
            </w:pPr>
            <w:r>
              <w:rPr>
                <w:b/>
                <w:bCs/>
                <w:color w:val="000000"/>
                <w:kern w:val="0"/>
                <w:sz w:val="24"/>
              </w:rPr>
              <w:t>出让</w:t>
            </w:r>
          </w:p>
        </w:tc>
        <w:tc>
          <w:tcPr>
            <w:tcW w:w="1290" w:type="dxa"/>
            <w:tcBorders>
              <w:top w:val="nil"/>
              <w:left w:val="nil"/>
              <w:bottom w:val="single" w:sz="4" w:space="0" w:color="auto"/>
              <w:right w:val="single" w:sz="4" w:space="0" w:color="auto"/>
            </w:tcBorders>
            <w:vAlign w:val="center"/>
          </w:tcPr>
          <w:p w:rsidR="00925FA3" w:rsidRDefault="00925FA3" w:rsidP="00ED4651">
            <w:pPr>
              <w:widowControl/>
              <w:spacing w:line="560" w:lineRule="exact"/>
              <w:jc w:val="center"/>
              <w:rPr>
                <w:b/>
                <w:bCs/>
                <w:color w:val="000000"/>
                <w:kern w:val="0"/>
                <w:sz w:val="24"/>
              </w:rPr>
            </w:pPr>
            <w:r>
              <w:rPr>
                <w:b/>
                <w:bCs/>
                <w:color w:val="000000"/>
                <w:kern w:val="0"/>
                <w:sz w:val="24"/>
              </w:rPr>
              <w:t>划拨</w:t>
            </w:r>
          </w:p>
        </w:tc>
        <w:tc>
          <w:tcPr>
            <w:tcW w:w="1290" w:type="dxa"/>
            <w:vMerge/>
            <w:tcBorders>
              <w:top w:val="nil"/>
              <w:left w:val="single" w:sz="4" w:space="0" w:color="auto"/>
              <w:bottom w:val="single" w:sz="4" w:space="0" w:color="auto"/>
              <w:right w:val="single" w:sz="4" w:space="0" w:color="auto"/>
            </w:tcBorders>
            <w:vAlign w:val="center"/>
          </w:tcPr>
          <w:p w:rsidR="00925FA3" w:rsidRDefault="00925FA3" w:rsidP="00ED4651">
            <w:pPr>
              <w:widowControl/>
              <w:spacing w:line="560" w:lineRule="exact"/>
              <w:jc w:val="left"/>
              <w:rPr>
                <w:b/>
                <w:bCs/>
                <w:color w:val="000000"/>
                <w:kern w:val="0"/>
                <w:sz w:val="24"/>
              </w:rPr>
            </w:pPr>
          </w:p>
        </w:tc>
        <w:tc>
          <w:tcPr>
            <w:tcW w:w="1290" w:type="dxa"/>
            <w:tcBorders>
              <w:top w:val="nil"/>
              <w:left w:val="nil"/>
              <w:bottom w:val="single" w:sz="4" w:space="0" w:color="auto"/>
              <w:right w:val="single" w:sz="4" w:space="0" w:color="auto"/>
            </w:tcBorders>
            <w:vAlign w:val="center"/>
          </w:tcPr>
          <w:p w:rsidR="00925FA3" w:rsidRDefault="00925FA3" w:rsidP="00ED4651">
            <w:pPr>
              <w:widowControl/>
              <w:spacing w:line="560" w:lineRule="exact"/>
              <w:jc w:val="left"/>
              <w:rPr>
                <w:b/>
                <w:bCs/>
                <w:color w:val="000000"/>
                <w:kern w:val="0"/>
                <w:sz w:val="24"/>
              </w:rPr>
            </w:pPr>
          </w:p>
        </w:tc>
        <w:tc>
          <w:tcPr>
            <w:tcW w:w="1290" w:type="dxa"/>
            <w:tcBorders>
              <w:top w:val="nil"/>
              <w:left w:val="nil"/>
              <w:bottom w:val="single" w:sz="4" w:space="0" w:color="auto"/>
              <w:right w:val="single" w:sz="4" w:space="0" w:color="auto"/>
            </w:tcBorders>
            <w:vAlign w:val="center"/>
          </w:tcPr>
          <w:p w:rsidR="00925FA3" w:rsidRDefault="00925FA3" w:rsidP="00ED4651">
            <w:pPr>
              <w:widowControl/>
              <w:spacing w:line="560" w:lineRule="exact"/>
              <w:jc w:val="left"/>
              <w:rPr>
                <w:b/>
                <w:bCs/>
                <w:color w:val="000000"/>
                <w:kern w:val="0"/>
                <w:sz w:val="24"/>
              </w:rPr>
            </w:pPr>
            <w:r>
              <w:rPr>
                <w:b/>
                <w:bCs/>
                <w:color w:val="000000"/>
                <w:kern w:val="0"/>
                <w:sz w:val="24"/>
              </w:rPr>
              <w:t>其中：</w:t>
            </w:r>
            <w:r>
              <w:rPr>
                <w:b/>
                <w:bCs/>
                <w:color w:val="000000"/>
                <w:kern w:val="0"/>
                <w:sz w:val="24"/>
              </w:rPr>
              <w:br/>
            </w:r>
            <w:r>
              <w:rPr>
                <w:b/>
                <w:bCs/>
                <w:color w:val="000000"/>
                <w:kern w:val="0"/>
                <w:sz w:val="24"/>
              </w:rPr>
              <w:t>租赁住宅</w:t>
            </w:r>
          </w:p>
        </w:tc>
        <w:tc>
          <w:tcPr>
            <w:tcW w:w="1290" w:type="dxa"/>
            <w:tcBorders>
              <w:top w:val="nil"/>
              <w:left w:val="nil"/>
              <w:bottom w:val="single" w:sz="4" w:space="0" w:color="auto"/>
              <w:right w:val="single" w:sz="4" w:space="0" w:color="auto"/>
            </w:tcBorders>
            <w:vAlign w:val="center"/>
          </w:tcPr>
          <w:p w:rsidR="00925FA3" w:rsidRDefault="00925FA3" w:rsidP="00ED4651">
            <w:pPr>
              <w:widowControl/>
              <w:spacing w:line="560" w:lineRule="exact"/>
              <w:jc w:val="center"/>
              <w:rPr>
                <w:b/>
                <w:bCs/>
                <w:color w:val="000000"/>
                <w:kern w:val="0"/>
                <w:sz w:val="24"/>
              </w:rPr>
            </w:pPr>
            <w:r>
              <w:rPr>
                <w:b/>
                <w:bCs/>
                <w:color w:val="000000"/>
                <w:kern w:val="0"/>
                <w:sz w:val="24"/>
              </w:rPr>
              <w:t>出让</w:t>
            </w:r>
          </w:p>
        </w:tc>
        <w:tc>
          <w:tcPr>
            <w:tcW w:w="1290" w:type="dxa"/>
            <w:tcBorders>
              <w:top w:val="nil"/>
              <w:left w:val="nil"/>
              <w:bottom w:val="single" w:sz="4" w:space="0" w:color="auto"/>
              <w:right w:val="single" w:sz="4" w:space="0" w:color="auto"/>
            </w:tcBorders>
            <w:vAlign w:val="center"/>
          </w:tcPr>
          <w:p w:rsidR="00925FA3" w:rsidRDefault="00925FA3" w:rsidP="00ED4651">
            <w:pPr>
              <w:widowControl/>
              <w:spacing w:line="560" w:lineRule="exact"/>
              <w:jc w:val="center"/>
              <w:rPr>
                <w:b/>
                <w:bCs/>
                <w:color w:val="000000"/>
                <w:kern w:val="0"/>
                <w:sz w:val="24"/>
              </w:rPr>
            </w:pPr>
            <w:r>
              <w:rPr>
                <w:b/>
                <w:bCs/>
                <w:color w:val="000000"/>
                <w:kern w:val="0"/>
                <w:sz w:val="24"/>
              </w:rPr>
              <w:t>划拨</w:t>
            </w:r>
          </w:p>
        </w:tc>
        <w:tc>
          <w:tcPr>
            <w:tcW w:w="1290" w:type="dxa"/>
            <w:vMerge/>
            <w:tcBorders>
              <w:top w:val="nil"/>
              <w:left w:val="single" w:sz="4" w:space="0" w:color="auto"/>
              <w:bottom w:val="single" w:sz="4" w:space="0" w:color="auto"/>
              <w:right w:val="single" w:sz="4" w:space="0" w:color="auto"/>
            </w:tcBorders>
            <w:vAlign w:val="center"/>
          </w:tcPr>
          <w:p w:rsidR="00925FA3" w:rsidRDefault="00925FA3" w:rsidP="00ED4651">
            <w:pPr>
              <w:widowControl/>
              <w:spacing w:line="560" w:lineRule="exact"/>
              <w:jc w:val="left"/>
              <w:rPr>
                <w:b/>
                <w:bCs/>
                <w:color w:val="000000"/>
                <w:kern w:val="0"/>
                <w:sz w:val="24"/>
              </w:rPr>
            </w:pPr>
          </w:p>
        </w:tc>
        <w:tc>
          <w:tcPr>
            <w:tcW w:w="1290" w:type="dxa"/>
            <w:tcBorders>
              <w:top w:val="nil"/>
              <w:left w:val="nil"/>
              <w:bottom w:val="single" w:sz="4" w:space="0" w:color="auto"/>
              <w:right w:val="single" w:sz="4" w:space="0" w:color="auto"/>
            </w:tcBorders>
            <w:vAlign w:val="center"/>
          </w:tcPr>
          <w:p w:rsidR="00925FA3" w:rsidRDefault="00925FA3" w:rsidP="00ED4651">
            <w:pPr>
              <w:widowControl/>
              <w:spacing w:line="560" w:lineRule="exact"/>
              <w:jc w:val="left"/>
              <w:rPr>
                <w:b/>
                <w:bCs/>
                <w:color w:val="000000"/>
                <w:kern w:val="0"/>
                <w:sz w:val="24"/>
              </w:rPr>
            </w:pPr>
          </w:p>
        </w:tc>
        <w:tc>
          <w:tcPr>
            <w:tcW w:w="1276" w:type="dxa"/>
            <w:tcBorders>
              <w:top w:val="nil"/>
              <w:left w:val="nil"/>
              <w:bottom w:val="single" w:sz="4" w:space="0" w:color="auto"/>
              <w:right w:val="single" w:sz="4" w:space="0" w:color="auto"/>
            </w:tcBorders>
            <w:vAlign w:val="center"/>
          </w:tcPr>
          <w:p w:rsidR="00925FA3" w:rsidRDefault="00925FA3" w:rsidP="00ED4651">
            <w:pPr>
              <w:widowControl/>
              <w:spacing w:line="560" w:lineRule="exact"/>
              <w:jc w:val="left"/>
              <w:rPr>
                <w:b/>
                <w:bCs/>
                <w:color w:val="000000"/>
                <w:kern w:val="0"/>
                <w:sz w:val="24"/>
              </w:rPr>
            </w:pPr>
            <w:r>
              <w:rPr>
                <w:b/>
                <w:bCs/>
                <w:color w:val="000000"/>
                <w:kern w:val="0"/>
                <w:sz w:val="24"/>
              </w:rPr>
              <w:t>其中：</w:t>
            </w:r>
            <w:r>
              <w:rPr>
                <w:b/>
                <w:bCs/>
                <w:color w:val="000000"/>
                <w:kern w:val="0"/>
                <w:sz w:val="24"/>
              </w:rPr>
              <w:br/>
            </w:r>
            <w:r>
              <w:rPr>
                <w:b/>
                <w:bCs/>
                <w:color w:val="000000"/>
                <w:kern w:val="0"/>
                <w:sz w:val="24"/>
              </w:rPr>
              <w:t>租赁住宅</w:t>
            </w:r>
          </w:p>
        </w:tc>
      </w:tr>
      <w:tr w:rsidR="00925FA3">
        <w:trPr>
          <w:trHeight w:val="390"/>
        </w:trPr>
        <w:tc>
          <w:tcPr>
            <w:tcW w:w="1289" w:type="dxa"/>
            <w:tcBorders>
              <w:top w:val="nil"/>
              <w:left w:val="single" w:sz="4" w:space="0" w:color="auto"/>
              <w:bottom w:val="single" w:sz="4" w:space="0" w:color="auto"/>
              <w:right w:val="single" w:sz="4" w:space="0" w:color="auto"/>
            </w:tcBorders>
            <w:vAlign w:val="center"/>
          </w:tcPr>
          <w:p w:rsidR="00925FA3" w:rsidRDefault="00925FA3" w:rsidP="00ED4651">
            <w:pPr>
              <w:widowControl/>
              <w:spacing w:line="560" w:lineRule="exact"/>
              <w:jc w:val="center"/>
              <w:rPr>
                <w:color w:val="000000"/>
                <w:kern w:val="0"/>
                <w:sz w:val="24"/>
              </w:rPr>
            </w:pPr>
            <w:r>
              <w:rPr>
                <w:color w:val="000000"/>
                <w:kern w:val="0"/>
                <w:sz w:val="24"/>
              </w:rPr>
              <w:t>沈阳市</w:t>
            </w:r>
          </w:p>
        </w:tc>
        <w:tc>
          <w:tcPr>
            <w:tcW w:w="1289"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600.0</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600.0</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58.7</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1984.2</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rPr>
                <w:szCs w:val="21"/>
              </w:rP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1984.2</w:t>
            </w:r>
          </w:p>
        </w:tc>
        <w:tc>
          <w:tcPr>
            <w:tcW w:w="1276"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rPr>
                <w:rFonts w:hint="eastAsia"/>
              </w:rPr>
              <w:t>128.7</w:t>
            </w:r>
          </w:p>
        </w:tc>
      </w:tr>
      <w:tr w:rsidR="00925FA3">
        <w:trPr>
          <w:trHeight w:val="390"/>
        </w:trPr>
        <w:tc>
          <w:tcPr>
            <w:tcW w:w="1289" w:type="dxa"/>
            <w:tcBorders>
              <w:top w:val="nil"/>
              <w:left w:val="single" w:sz="4" w:space="0" w:color="auto"/>
              <w:bottom w:val="single" w:sz="4" w:space="0" w:color="auto"/>
              <w:right w:val="single" w:sz="4" w:space="0" w:color="auto"/>
            </w:tcBorders>
            <w:vAlign w:val="center"/>
          </w:tcPr>
          <w:p w:rsidR="00925FA3" w:rsidRDefault="00925FA3" w:rsidP="00ED4651">
            <w:pPr>
              <w:widowControl/>
              <w:spacing w:line="560" w:lineRule="exact"/>
              <w:jc w:val="center"/>
              <w:rPr>
                <w:color w:val="000000"/>
                <w:kern w:val="0"/>
                <w:sz w:val="24"/>
              </w:rPr>
            </w:pPr>
            <w:r>
              <w:rPr>
                <w:color w:val="000000"/>
                <w:kern w:val="0"/>
                <w:sz w:val="24"/>
              </w:rPr>
              <w:t>市区</w:t>
            </w:r>
          </w:p>
        </w:tc>
        <w:tc>
          <w:tcPr>
            <w:tcW w:w="1289"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586.2</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586.2</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58.7</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1938.6</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rPr>
                <w:szCs w:val="21"/>
              </w:rP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1938.6</w:t>
            </w:r>
          </w:p>
        </w:tc>
        <w:tc>
          <w:tcPr>
            <w:tcW w:w="1276"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rPr>
                <w:rFonts w:hint="eastAsia"/>
              </w:rPr>
              <w:t>128.7</w:t>
            </w:r>
          </w:p>
        </w:tc>
      </w:tr>
      <w:tr w:rsidR="00925FA3">
        <w:trPr>
          <w:trHeight w:val="390"/>
        </w:trPr>
        <w:tc>
          <w:tcPr>
            <w:tcW w:w="1289" w:type="dxa"/>
            <w:tcBorders>
              <w:top w:val="nil"/>
              <w:left w:val="single" w:sz="4" w:space="0" w:color="auto"/>
              <w:bottom w:val="single" w:sz="4" w:space="0" w:color="auto"/>
              <w:right w:val="single" w:sz="4" w:space="0" w:color="auto"/>
            </w:tcBorders>
            <w:vAlign w:val="center"/>
          </w:tcPr>
          <w:p w:rsidR="00925FA3" w:rsidRDefault="00925FA3" w:rsidP="00ED4651">
            <w:pPr>
              <w:widowControl/>
              <w:spacing w:line="560" w:lineRule="exact"/>
              <w:jc w:val="center"/>
              <w:rPr>
                <w:color w:val="000000"/>
                <w:kern w:val="0"/>
                <w:sz w:val="24"/>
              </w:rPr>
            </w:pPr>
            <w:r>
              <w:rPr>
                <w:color w:val="000000"/>
                <w:kern w:val="0"/>
                <w:sz w:val="24"/>
              </w:rPr>
              <w:t>康平县</w:t>
            </w:r>
          </w:p>
        </w:tc>
        <w:tc>
          <w:tcPr>
            <w:tcW w:w="1289"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1.0</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1.0</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3.3</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rPr>
                <w:szCs w:val="21"/>
              </w:rP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3.3</w:t>
            </w:r>
          </w:p>
        </w:tc>
        <w:tc>
          <w:tcPr>
            <w:tcW w:w="1276"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r>
      <w:tr w:rsidR="00925FA3">
        <w:trPr>
          <w:trHeight w:val="390"/>
        </w:trPr>
        <w:tc>
          <w:tcPr>
            <w:tcW w:w="1289" w:type="dxa"/>
            <w:tcBorders>
              <w:top w:val="nil"/>
              <w:left w:val="single" w:sz="4" w:space="0" w:color="auto"/>
              <w:bottom w:val="single" w:sz="4" w:space="0" w:color="auto"/>
              <w:right w:val="single" w:sz="4" w:space="0" w:color="auto"/>
            </w:tcBorders>
            <w:vAlign w:val="center"/>
          </w:tcPr>
          <w:p w:rsidR="00925FA3" w:rsidRDefault="00925FA3" w:rsidP="00ED4651">
            <w:pPr>
              <w:widowControl/>
              <w:spacing w:line="560" w:lineRule="exact"/>
              <w:jc w:val="center"/>
              <w:rPr>
                <w:color w:val="000000"/>
                <w:kern w:val="0"/>
                <w:sz w:val="24"/>
              </w:rPr>
            </w:pPr>
            <w:r>
              <w:rPr>
                <w:color w:val="000000"/>
                <w:kern w:val="0"/>
                <w:sz w:val="24"/>
              </w:rPr>
              <w:t>法库县</w:t>
            </w:r>
          </w:p>
        </w:tc>
        <w:tc>
          <w:tcPr>
            <w:tcW w:w="1289"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1.3</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1.3</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4.3</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rPr>
                <w:szCs w:val="21"/>
              </w:rP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4.3</w:t>
            </w:r>
          </w:p>
        </w:tc>
        <w:tc>
          <w:tcPr>
            <w:tcW w:w="1276"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r>
      <w:tr w:rsidR="00925FA3">
        <w:trPr>
          <w:trHeight w:val="390"/>
        </w:trPr>
        <w:tc>
          <w:tcPr>
            <w:tcW w:w="1289" w:type="dxa"/>
            <w:tcBorders>
              <w:top w:val="nil"/>
              <w:left w:val="single" w:sz="4" w:space="0" w:color="auto"/>
              <w:bottom w:val="single" w:sz="4" w:space="0" w:color="auto"/>
              <w:right w:val="single" w:sz="4" w:space="0" w:color="auto"/>
            </w:tcBorders>
            <w:vAlign w:val="center"/>
          </w:tcPr>
          <w:p w:rsidR="00925FA3" w:rsidRDefault="00925FA3" w:rsidP="00ED4651">
            <w:pPr>
              <w:widowControl/>
              <w:spacing w:line="560" w:lineRule="exact"/>
              <w:jc w:val="center"/>
              <w:rPr>
                <w:color w:val="000000"/>
                <w:kern w:val="0"/>
                <w:sz w:val="24"/>
              </w:rPr>
            </w:pPr>
            <w:r>
              <w:rPr>
                <w:color w:val="000000"/>
                <w:kern w:val="0"/>
                <w:sz w:val="24"/>
              </w:rPr>
              <w:t>新民市</w:t>
            </w:r>
          </w:p>
        </w:tc>
        <w:tc>
          <w:tcPr>
            <w:tcW w:w="1289"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11.5</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11.5</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38.0</w:t>
            </w: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rPr>
                <w:szCs w:val="21"/>
              </w:rPr>
            </w:pPr>
          </w:p>
        </w:tc>
        <w:tc>
          <w:tcPr>
            <w:tcW w:w="1290"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r>
              <w:t>38.0</w:t>
            </w:r>
          </w:p>
        </w:tc>
        <w:tc>
          <w:tcPr>
            <w:tcW w:w="1276" w:type="dxa"/>
            <w:tcBorders>
              <w:top w:val="nil"/>
              <w:left w:val="nil"/>
              <w:bottom w:val="single" w:sz="4" w:space="0" w:color="auto"/>
              <w:right w:val="single" w:sz="4" w:space="0" w:color="auto"/>
            </w:tcBorders>
            <w:vAlign w:val="center"/>
          </w:tcPr>
          <w:p w:rsidR="00925FA3" w:rsidRDefault="00925FA3" w:rsidP="00ED4651">
            <w:pPr>
              <w:spacing w:line="560" w:lineRule="exact"/>
              <w:jc w:val="center"/>
            </w:pPr>
          </w:p>
        </w:tc>
      </w:tr>
    </w:tbl>
    <w:p w:rsidR="00925FA3" w:rsidRDefault="00925FA3" w:rsidP="00925FA3">
      <w:pPr>
        <w:spacing w:line="560" w:lineRule="exact"/>
        <w:ind w:firstLineChars="200" w:firstLine="640"/>
        <w:jc w:val="center"/>
        <w:rPr>
          <w:rFonts w:eastAsia="仿宋_GB2312"/>
          <w:sz w:val="32"/>
          <w:szCs w:val="32"/>
        </w:rPr>
      </w:pPr>
    </w:p>
    <w:sectPr w:rsidR="00925FA3" w:rsidSect="00925FA3">
      <w:headerReference w:type="default" r:id="rId7"/>
      <w:footerReference w:type="even" r:id="rId8"/>
      <w:footerReference w:type="default" r:id="rId9"/>
      <w:pgSz w:w="16838" w:h="11906" w:orient="landscape" w:code="9"/>
      <w:pgMar w:top="1797" w:right="1440" w:bottom="1797"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220" w:rsidRDefault="008B2220" w:rsidP="00382AFF">
      <w:r>
        <w:separator/>
      </w:r>
    </w:p>
  </w:endnote>
  <w:endnote w:type="continuationSeparator" w:id="1">
    <w:p w:rsidR="008B2220" w:rsidRDefault="008B2220" w:rsidP="00382A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F15" w:rsidRPr="00975B62" w:rsidRDefault="00A131A6" w:rsidP="00186666">
    <w:pPr>
      <w:pStyle w:val="a4"/>
      <w:rPr>
        <w:rFonts w:ascii="宋体" w:hAnsi="宋体"/>
      </w:rPr>
    </w:pPr>
    <w:r w:rsidRPr="00975B62">
      <w:rPr>
        <w:rFonts w:ascii="宋体" w:hAnsi="宋体"/>
        <w:sz w:val="28"/>
        <w:szCs w:val="28"/>
      </w:rPr>
      <w:fldChar w:fldCharType="begin"/>
    </w:r>
    <w:r w:rsidR="00472F15" w:rsidRPr="00975B62">
      <w:rPr>
        <w:rFonts w:ascii="宋体" w:hAnsi="宋体"/>
        <w:sz w:val="28"/>
        <w:szCs w:val="28"/>
      </w:rPr>
      <w:instrText>PAGE   \* MERGEFORMAT</w:instrText>
    </w:r>
    <w:r w:rsidRPr="00975B62">
      <w:rPr>
        <w:rFonts w:ascii="宋体" w:hAnsi="宋体"/>
        <w:sz w:val="28"/>
        <w:szCs w:val="28"/>
      </w:rPr>
      <w:fldChar w:fldCharType="separate"/>
    </w:r>
    <w:r w:rsidR="00925FA3" w:rsidRPr="00925FA3">
      <w:rPr>
        <w:rFonts w:ascii="宋体" w:hAnsi="宋体"/>
        <w:noProof/>
        <w:sz w:val="28"/>
        <w:szCs w:val="28"/>
        <w:lang w:val="zh-CN"/>
      </w:rPr>
      <w:t>-</w:t>
    </w:r>
    <w:r w:rsidR="00925FA3">
      <w:rPr>
        <w:rFonts w:ascii="宋体" w:hAnsi="宋体"/>
        <w:noProof/>
        <w:sz w:val="28"/>
        <w:szCs w:val="28"/>
      </w:rPr>
      <w:t xml:space="preserve"> 6 -</w:t>
    </w:r>
    <w:r w:rsidRPr="00975B62">
      <w:rPr>
        <w:rFonts w:ascii="宋体" w:hAnsi="宋体"/>
        <w:sz w:val="28"/>
        <w:szCs w:val="28"/>
      </w:rPr>
      <w:fldChar w:fldCharType="end"/>
    </w:r>
  </w:p>
  <w:p w:rsidR="00472F15" w:rsidRDefault="00472F1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738" w:rsidRDefault="00A131A6">
    <w:pPr>
      <w:pStyle w:val="a4"/>
      <w:jc w:val="right"/>
    </w:pPr>
    <w:r w:rsidRPr="00975B62">
      <w:rPr>
        <w:rFonts w:ascii="宋体" w:hAnsi="宋体"/>
        <w:sz w:val="28"/>
        <w:szCs w:val="28"/>
      </w:rPr>
      <w:fldChar w:fldCharType="begin"/>
    </w:r>
    <w:r w:rsidR="002B2738" w:rsidRPr="00975B62">
      <w:rPr>
        <w:rFonts w:ascii="宋体" w:hAnsi="宋体"/>
        <w:sz w:val="28"/>
        <w:szCs w:val="28"/>
      </w:rPr>
      <w:instrText>PAGE   \* MERGEFORMAT</w:instrText>
    </w:r>
    <w:r w:rsidRPr="00975B62">
      <w:rPr>
        <w:rFonts w:ascii="宋体" w:hAnsi="宋体"/>
        <w:sz w:val="28"/>
        <w:szCs w:val="28"/>
      </w:rPr>
      <w:fldChar w:fldCharType="separate"/>
    </w:r>
    <w:r w:rsidR="00B52DBF" w:rsidRPr="00B52DBF">
      <w:rPr>
        <w:rFonts w:ascii="宋体" w:hAnsi="宋体"/>
        <w:noProof/>
        <w:sz w:val="28"/>
        <w:szCs w:val="28"/>
        <w:lang w:val="zh-CN"/>
      </w:rPr>
      <w:t>-</w:t>
    </w:r>
    <w:r w:rsidR="00B52DBF">
      <w:rPr>
        <w:rFonts w:ascii="宋体" w:hAnsi="宋体"/>
        <w:noProof/>
        <w:sz w:val="28"/>
        <w:szCs w:val="28"/>
      </w:rPr>
      <w:t xml:space="preserve"> 3 -</w:t>
    </w:r>
    <w:r w:rsidRPr="00975B62">
      <w:rPr>
        <w:rFonts w:ascii="宋体" w:hAnsi="宋体"/>
        <w:sz w:val="28"/>
        <w:szCs w:val="28"/>
      </w:rPr>
      <w:fldChar w:fldCharType="end"/>
    </w:r>
  </w:p>
  <w:p w:rsidR="002B2738" w:rsidRDefault="002B27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220" w:rsidRDefault="008B2220" w:rsidP="00382AFF">
      <w:r>
        <w:separator/>
      </w:r>
    </w:p>
  </w:footnote>
  <w:footnote w:type="continuationSeparator" w:id="1">
    <w:p w:rsidR="008B2220" w:rsidRDefault="008B2220" w:rsidP="00382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83B" w:rsidRPr="00CC4C8C" w:rsidRDefault="0059383B" w:rsidP="00CC4C8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59.197.224.47:80/seeyon/officeservlet"/>
  </w:docVars>
  <w:rsids>
    <w:rsidRoot w:val="00B8069F"/>
    <w:rsid w:val="000513DA"/>
    <w:rsid w:val="000676D9"/>
    <w:rsid w:val="00082096"/>
    <w:rsid w:val="000A4E65"/>
    <w:rsid w:val="000B4207"/>
    <w:rsid w:val="000B7FEB"/>
    <w:rsid w:val="000D7147"/>
    <w:rsid w:val="000E691A"/>
    <w:rsid w:val="000F2773"/>
    <w:rsid w:val="00125D90"/>
    <w:rsid w:val="001549B4"/>
    <w:rsid w:val="0016467E"/>
    <w:rsid w:val="00173EAC"/>
    <w:rsid w:val="00186666"/>
    <w:rsid w:val="001B15A1"/>
    <w:rsid w:val="001D4DD7"/>
    <w:rsid w:val="0020729C"/>
    <w:rsid w:val="002117AB"/>
    <w:rsid w:val="00281D99"/>
    <w:rsid w:val="002B2738"/>
    <w:rsid w:val="002E322C"/>
    <w:rsid w:val="002F59DC"/>
    <w:rsid w:val="0032399F"/>
    <w:rsid w:val="003313A3"/>
    <w:rsid w:val="00341A26"/>
    <w:rsid w:val="00382AFF"/>
    <w:rsid w:val="003A025D"/>
    <w:rsid w:val="003C2B06"/>
    <w:rsid w:val="00405FE5"/>
    <w:rsid w:val="00430771"/>
    <w:rsid w:val="00472F15"/>
    <w:rsid w:val="00484BEB"/>
    <w:rsid w:val="004A6FFF"/>
    <w:rsid w:val="004B4889"/>
    <w:rsid w:val="004F25D0"/>
    <w:rsid w:val="004F697A"/>
    <w:rsid w:val="0052643E"/>
    <w:rsid w:val="00554008"/>
    <w:rsid w:val="00591311"/>
    <w:rsid w:val="0059383B"/>
    <w:rsid w:val="005964DC"/>
    <w:rsid w:val="00597268"/>
    <w:rsid w:val="005B4D43"/>
    <w:rsid w:val="005C07DE"/>
    <w:rsid w:val="00605AD4"/>
    <w:rsid w:val="006728A7"/>
    <w:rsid w:val="0068595E"/>
    <w:rsid w:val="00724282"/>
    <w:rsid w:val="00752ED4"/>
    <w:rsid w:val="007D059F"/>
    <w:rsid w:val="00820D11"/>
    <w:rsid w:val="008634BB"/>
    <w:rsid w:val="00863573"/>
    <w:rsid w:val="00880F69"/>
    <w:rsid w:val="0088619A"/>
    <w:rsid w:val="008A6F9B"/>
    <w:rsid w:val="008B2220"/>
    <w:rsid w:val="008F6003"/>
    <w:rsid w:val="00907C3C"/>
    <w:rsid w:val="00925FA3"/>
    <w:rsid w:val="009461D3"/>
    <w:rsid w:val="00960041"/>
    <w:rsid w:val="00975B62"/>
    <w:rsid w:val="009E4B5B"/>
    <w:rsid w:val="00A131A6"/>
    <w:rsid w:val="00A65864"/>
    <w:rsid w:val="00A7107F"/>
    <w:rsid w:val="00AC3451"/>
    <w:rsid w:val="00B020FA"/>
    <w:rsid w:val="00B52DBF"/>
    <w:rsid w:val="00B538D5"/>
    <w:rsid w:val="00B6690C"/>
    <w:rsid w:val="00B76666"/>
    <w:rsid w:val="00B8069F"/>
    <w:rsid w:val="00C12405"/>
    <w:rsid w:val="00C532A9"/>
    <w:rsid w:val="00C65BDE"/>
    <w:rsid w:val="00C76AA8"/>
    <w:rsid w:val="00C77A4D"/>
    <w:rsid w:val="00C77BDE"/>
    <w:rsid w:val="00CB1635"/>
    <w:rsid w:val="00CC4C8C"/>
    <w:rsid w:val="00CD3886"/>
    <w:rsid w:val="00CE3156"/>
    <w:rsid w:val="00D22DF5"/>
    <w:rsid w:val="00D81C19"/>
    <w:rsid w:val="00DC5F07"/>
    <w:rsid w:val="00DD4A85"/>
    <w:rsid w:val="00E04D16"/>
    <w:rsid w:val="00E23213"/>
    <w:rsid w:val="00E37C5E"/>
    <w:rsid w:val="00E64F4A"/>
    <w:rsid w:val="00F02463"/>
    <w:rsid w:val="00F03B5C"/>
    <w:rsid w:val="00F31A48"/>
    <w:rsid w:val="00F52D92"/>
    <w:rsid w:val="00F67CE7"/>
    <w:rsid w:val="00FA43F0"/>
    <w:rsid w:val="00FB136A"/>
    <w:rsid w:val="00FB2480"/>
    <w:rsid w:val="00FD08E1"/>
    <w:rsid w:val="00FD30A0"/>
    <w:rsid w:val="00FE74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8D5"/>
    <w:pPr>
      <w:widowControl w:val="0"/>
      <w:jc w:val="both"/>
    </w:pPr>
    <w:rPr>
      <w:kern w:val="2"/>
      <w:sz w:val="21"/>
      <w:szCs w:val="22"/>
    </w:rPr>
  </w:style>
  <w:style w:type="paragraph" w:styleId="1">
    <w:name w:val="heading 1"/>
    <w:basedOn w:val="a"/>
    <w:next w:val="a"/>
    <w:link w:val="1Char"/>
    <w:uiPriority w:val="9"/>
    <w:qFormat/>
    <w:rsid w:val="000676D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2AF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382AFF"/>
    <w:rPr>
      <w:sz w:val="18"/>
      <w:szCs w:val="18"/>
    </w:rPr>
  </w:style>
  <w:style w:type="paragraph" w:styleId="a4">
    <w:name w:val="footer"/>
    <w:basedOn w:val="a"/>
    <w:link w:val="Char0"/>
    <w:uiPriority w:val="99"/>
    <w:unhideWhenUsed/>
    <w:rsid w:val="00382AFF"/>
    <w:pPr>
      <w:tabs>
        <w:tab w:val="center" w:pos="4153"/>
        <w:tab w:val="right" w:pos="8306"/>
      </w:tabs>
      <w:snapToGrid w:val="0"/>
      <w:jc w:val="left"/>
    </w:pPr>
    <w:rPr>
      <w:sz w:val="18"/>
      <w:szCs w:val="18"/>
    </w:rPr>
  </w:style>
  <w:style w:type="character" w:customStyle="1" w:styleId="Char0">
    <w:name w:val="页脚 Char"/>
    <w:link w:val="a4"/>
    <w:uiPriority w:val="99"/>
    <w:rsid w:val="00382AFF"/>
    <w:rPr>
      <w:sz w:val="18"/>
      <w:szCs w:val="18"/>
    </w:rPr>
  </w:style>
  <w:style w:type="paragraph" w:styleId="a5">
    <w:name w:val="Title"/>
    <w:basedOn w:val="a"/>
    <w:next w:val="a"/>
    <w:link w:val="Char1"/>
    <w:uiPriority w:val="10"/>
    <w:qFormat/>
    <w:rsid w:val="005B4D43"/>
    <w:pPr>
      <w:spacing w:before="240" w:after="60"/>
      <w:jc w:val="center"/>
      <w:outlineLvl w:val="0"/>
    </w:pPr>
    <w:rPr>
      <w:rFonts w:ascii="Calibri Light" w:hAnsi="Calibri Light"/>
      <w:b/>
      <w:bCs/>
      <w:sz w:val="32"/>
      <w:szCs w:val="32"/>
    </w:rPr>
  </w:style>
  <w:style w:type="character" w:customStyle="1" w:styleId="Char1">
    <w:name w:val="标题 Char"/>
    <w:link w:val="a5"/>
    <w:uiPriority w:val="10"/>
    <w:rsid w:val="005B4D43"/>
    <w:rPr>
      <w:rFonts w:ascii="Calibri Light" w:eastAsia="宋体" w:hAnsi="Calibri Light" w:cs="Times New Roman"/>
      <w:b/>
      <w:bCs/>
      <w:sz w:val="32"/>
      <w:szCs w:val="32"/>
    </w:rPr>
  </w:style>
  <w:style w:type="character" w:customStyle="1" w:styleId="1Char">
    <w:name w:val="标题 1 Char"/>
    <w:link w:val="1"/>
    <w:uiPriority w:val="9"/>
    <w:rsid w:val="000676D9"/>
    <w:rPr>
      <w:b/>
      <w:bCs/>
      <w:kern w:val="44"/>
      <w:sz w:val="44"/>
      <w:szCs w:val="44"/>
    </w:rPr>
  </w:style>
  <w:style w:type="table" w:styleId="a6">
    <w:name w:val="Table Grid"/>
    <w:basedOn w:val="a1"/>
    <w:uiPriority w:val="39"/>
    <w:rsid w:val="005264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rsid w:val="00281D99"/>
    <w:pPr>
      <w:widowControl/>
      <w:spacing w:after="160" w:line="240" w:lineRule="exact"/>
      <w:jc w:val="left"/>
    </w:pPr>
    <w:rPr>
      <w:rFonts w:ascii="Times New Roman" w:hAnsi="Times New Roman"/>
      <w:szCs w:val="20"/>
    </w:rPr>
  </w:style>
  <w:style w:type="paragraph" w:styleId="a7">
    <w:name w:val="No Spacing"/>
    <w:uiPriority w:val="1"/>
    <w:qFormat/>
    <w:rsid w:val="00F52D92"/>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EDB57-49B4-4DD4-BC23-EF03CDE7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173</Words>
  <Characters>990</Characters>
  <Application>Microsoft Office Word</Application>
  <DocSecurity>0</DocSecurity>
  <Lines>8</Lines>
  <Paragraphs>2</Paragraphs>
  <ScaleCrop>false</ScaleCrop>
  <Company>微软中国</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实施顾问</dc:creator>
  <cp:lastModifiedBy>李晓威</cp:lastModifiedBy>
  <cp:revision>3</cp:revision>
  <dcterms:created xsi:type="dcterms:W3CDTF">2022-02-17T04:28:00Z</dcterms:created>
  <dcterms:modified xsi:type="dcterms:W3CDTF">2022-02-17T04:29:00Z</dcterms:modified>
</cp:coreProperties>
</file>