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104" w:firstLineChars="1900"/>
        <w:rPr>
          <w:rFonts w:ascii="仿宋_GB2312" w:eastAsia="仿宋_GB2312"/>
          <w:b/>
          <w:bCs/>
          <w:sz w:val="32"/>
          <w:szCs w:val="36"/>
        </w:rPr>
      </w:pPr>
      <w:r>
        <w:rPr>
          <w:rFonts w:hint="eastAsia" w:ascii="仿宋_GB2312" w:eastAsia="仿宋_GB2312"/>
          <w:b/>
          <w:bCs/>
          <w:sz w:val="32"/>
          <w:szCs w:val="36"/>
        </w:rPr>
        <w:t>编号：</w:t>
      </w:r>
    </w:p>
    <w:p>
      <w:pPr>
        <w:ind w:firstLine="5903" w:firstLineChars="2100"/>
        <w:rPr>
          <w:rFonts w:ascii="仿宋_GB2312" w:eastAsia="仿宋_GB2312"/>
          <w:b/>
          <w:bCs/>
          <w:sz w:val="28"/>
          <w:szCs w:val="3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hint="eastAsia" w:ascii="宋体" w:eastAsia="宋体" w:cs="华文仿宋"/>
          <w:b/>
          <w:sz w:val="48"/>
          <w:szCs w:val="48"/>
          <w:lang w:eastAsia="zh-CN"/>
        </w:rPr>
      </w:pPr>
      <w:bookmarkStart w:id="0" w:name="_Hlk34326976"/>
      <w:r>
        <w:rPr>
          <w:rFonts w:hint="eastAsia" w:ascii="宋体" w:hAnsi="宋体" w:cs="华文仿宋"/>
          <w:b/>
          <w:sz w:val="56"/>
          <w:szCs w:val="56"/>
          <w:lang w:val="en-US" w:eastAsia="zh-CN"/>
        </w:rPr>
        <w:t>创新二路北桃仙街西地块</w:t>
      </w:r>
      <w:r>
        <w:rPr>
          <w:rFonts w:hint="eastAsia" w:ascii="宋体" w:hAnsi="宋体" w:cs="华文仿宋"/>
          <w:b/>
          <w:sz w:val="56"/>
          <w:szCs w:val="56"/>
        </w:rPr>
        <w:t>项目用地建设监管协议书</w:t>
      </w:r>
      <w:r>
        <w:rPr>
          <w:rFonts w:hint="eastAsia" w:ascii="宋体" w:hAnsi="宋体" w:cs="华文仿宋"/>
          <w:b/>
          <w:sz w:val="56"/>
          <w:szCs w:val="56"/>
          <w:lang w:eastAsia="zh-CN"/>
        </w:rPr>
        <w:t>（</w:t>
      </w:r>
      <w:r>
        <w:rPr>
          <w:rFonts w:hint="eastAsia" w:ascii="宋体" w:hAnsi="宋体" w:cs="华文仿宋"/>
          <w:b/>
          <w:sz w:val="56"/>
          <w:szCs w:val="56"/>
          <w:lang w:val="en-US" w:eastAsia="zh-CN"/>
        </w:rPr>
        <w:t>样本</w:t>
      </w:r>
      <w:bookmarkStart w:id="5" w:name="_GoBack"/>
      <w:bookmarkEnd w:id="5"/>
      <w:r>
        <w:rPr>
          <w:rFonts w:hint="eastAsia" w:ascii="宋体" w:hAnsi="宋体" w:cs="华文仿宋"/>
          <w:b/>
          <w:sz w:val="56"/>
          <w:szCs w:val="56"/>
          <w:lang w:eastAsia="zh-CN"/>
        </w:rPr>
        <w:t>）</w:t>
      </w:r>
    </w:p>
    <w:bookmarkEnd w:id="0"/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hAnsi="宋体" w:cs="华文仿宋"/>
          <w:b/>
          <w:sz w:val="40"/>
          <w:szCs w:val="52"/>
        </w:rPr>
      </w:pPr>
      <w:r>
        <w:rPr>
          <w:rFonts w:hint="eastAsia" w:ascii="宋体" w:hAnsi="宋体" w:cs="华文仿宋"/>
          <w:b/>
          <w:sz w:val="40"/>
          <w:szCs w:val="52"/>
        </w:rPr>
        <w:t>年     月     日</w:t>
      </w: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jc w:val="center"/>
        <w:rPr>
          <w:rFonts w:ascii="宋体" w:cs="华文仿宋"/>
          <w:b/>
          <w:sz w:val="52"/>
          <w:szCs w:val="5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甲方：沈阳市浑南区人民政府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法定代表人：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住所地：辽宁省沈阳市浑南区世纪路13号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乙方：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法定代表人：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住所地：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常用办公地点：</w:t>
      </w:r>
    </w:p>
    <w:p>
      <w:pPr>
        <w:rPr>
          <w:rFonts w:ascii="仿宋" w:hAnsi="仿宋" w:eastAsia="仿宋" w:cs="华文仿宋"/>
          <w:b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《民法典》、《中华人民共和国土地管理法》、《中华人民共和国城市房地产管理法》、《中华人民共和国城乡规划法》和其他相关法律法规及甲方的地方性政策的规定，甲乙双方本着平等、自愿、有偿、诚信的原则，依据浑南区（沈阳高新区）主导产业发展方向，经友好协商，就乙方</w:t>
      </w:r>
      <w:bookmarkStart w:id="1" w:name="_Hlk34327093"/>
      <w:r>
        <w:rPr>
          <w:rFonts w:hint="eastAsia" w:ascii="仿宋_GB2312" w:eastAsia="仿宋_GB2312"/>
          <w:sz w:val="32"/>
          <w:szCs w:val="32"/>
        </w:rPr>
        <w:t>在沈阳市浑南区投资建设产业项目达成如下协议</w:t>
      </w:r>
      <w:bookmarkEnd w:id="1"/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ind w:firstLine="57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第一条 产业要求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bookmarkStart w:id="2" w:name="OLE_LINK39"/>
      <w:bookmarkStart w:id="3" w:name="OLE_LINK11"/>
      <w:r>
        <w:rPr>
          <w:rFonts w:hint="eastAsia" w:ascii="仿宋_GB2312" w:eastAsia="仿宋_GB2312"/>
          <w:sz w:val="32"/>
          <w:szCs w:val="32"/>
        </w:rPr>
        <w:t>1.1产业方向（主导产业及产业链）及社会效益：</w:t>
      </w:r>
      <w:bookmarkEnd w:id="2"/>
      <w:bookmarkEnd w:id="3"/>
      <w:r>
        <w:rPr>
          <w:rFonts w:hint="eastAsia" w:ascii="仿宋_GB2312" w:eastAsia="仿宋_GB2312"/>
          <w:sz w:val="32"/>
          <w:szCs w:val="32"/>
        </w:rPr>
        <w:t>结合我区工业机器人主导产业及产业链空间分布特征，以及“一区十二园”产业规划。根据园区内现有土地及产业发展情况，围绕机器人行业上下游产业链定向招商方向产业项目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。打造引领高端装备制造、机器人相关领域研发与产业成果转化的园区。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1.2建设内容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主要建设内容为装备智能化产业和智能化服务共性技术创新平台。</w:t>
      </w:r>
    </w:p>
    <w:p>
      <w:pPr>
        <w:ind w:firstLine="57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第二条 项目用地</w:t>
      </w:r>
    </w:p>
    <w:p>
      <w:pPr>
        <w:spacing w:line="560" w:lineRule="exact"/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2.1项目用地面积及位置：用地面积为121亩（8万平方米），位于桃仙街道，</w:t>
      </w:r>
      <w:r>
        <w:rPr>
          <w:rFonts w:hint="eastAsia" w:ascii="仿宋_GB2312" w:hAnsi="仿宋_GB2312" w:eastAsia="仿宋_GB2312" w:cs="仿宋_GB2312"/>
          <w:sz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项目用地具体位置以自然资源部门最终核定的用地规划红线为准）。</w:t>
      </w:r>
    </w:p>
    <w:p>
      <w:pPr>
        <w:spacing w:line="560" w:lineRule="exact"/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2.2项目用地规划用途及规划指标</w:t>
      </w:r>
    </w:p>
    <w:p>
      <w:pPr>
        <w:spacing w:line="560" w:lineRule="exact"/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项目用地规划用途为工业用地，规划总建筑面积约为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***</w:t>
      </w:r>
      <w:r>
        <w:rPr>
          <w:rFonts w:hint="eastAsia" w:ascii="仿宋_GB2312" w:hAnsi="仿宋_GB2312" w:eastAsia="仿宋_GB2312" w:cs="仿宋_GB2312"/>
          <w:sz w:val="32"/>
          <w:szCs w:val="32"/>
        </w:rPr>
        <w:t>万平方米，容积率不小于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***</w:t>
      </w:r>
      <w:r>
        <w:rPr>
          <w:rFonts w:hint="eastAsia" w:ascii="仿宋_GB2312" w:hAnsi="仿宋_GB2312" w:eastAsia="仿宋_GB2312" w:cs="仿宋_GB2312"/>
          <w:sz w:val="32"/>
          <w:szCs w:val="32"/>
        </w:rPr>
        <w:t>，项目用地最终规划指标以挂牌文件标示为准。</w:t>
      </w:r>
    </w:p>
    <w:p>
      <w:pPr>
        <w:spacing w:line="560" w:lineRule="exact"/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2.3项目用地国有建设用地使用权由乙方以招、拍、挂等合法的方式取得，项目用地成交价款以乙方竞得价为准。</w:t>
      </w:r>
    </w:p>
    <w:p>
      <w:pPr>
        <w:spacing w:line="560" w:lineRule="exact"/>
        <w:ind w:firstLine="627" w:firstLineChars="196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2.4乙方依成交确认书全额缴纳项目用地土地成交款后，办理项目用地《国有土地使用权证》过程中所发生的税、费由乙方据实交纳。</w:t>
      </w:r>
    </w:p>
    <w:p>
      <w:pPr>
        <w:ind w:firstLine="645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2.5项目用地的基础设施配套必须满足乙方项目建设需求，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相关挂网费（供水、供暖等）费用由乙方承担。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第三条 投资、强度、进度要求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3.1投资强度不低于人民币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5125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万元/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公顷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3.2乙方确保该项目在《国有建设用地使用权出让合同》   签订之日起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月内开工建设，建设周期为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个月。 </w:t>
      </w:r>
    </w:p>
    <w:p>
      <w:pPr>
        <w:spacing w:line="606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第四条 责任与义务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4.1</w:t>
      </w:r>
      <w:bookmarkStart w:id="4" w:name="_Hlk34050183"/>
      <w:r>
        <w:rPr>
          <w:rFonts w:hint="eastAsia" w:ascii="仿宋_GB2312" w:hAnsi="仿宋_GB2312" w:eastAsia="仿宋_GB2312" w:cs="仿宋_GB2312"/>
          <w:sz w:val="32"/>
          <w:szCs w:val="32"/>
        </w:rPr>
        <w:t>若乙方未能在出让合同约定期内开、竣工，甲方有权责成相关部门就乙方开竣工违约、闲置土地追究违约责任。</w:t>
      </w:r>
    </w:p>
    <w:bookmarkEnd w:id="4"/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4.2乙方根据国家相关规定，依法通过“招、拍、挂”方式竞得项目用地土地使用权，并按成交确认书及国有土地出让合同规定，按期足额支付土地价款及相关费用。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4.3乙方及项目公司建设生产期间必须做好本企业的安全、治安、保卫工作，出现任何问题均由乙方自行承担责任。</w:t>
      </w:r>
    </w:p>
    <w:p>
      <w:pPr>
        <w:spacing w:line="606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第五条 不可抗力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由于不可抗力造成的部分或全部不能履行本协议，甲、乙双方均不负责任。但应在条件允许的情况下采取一切必要补救措施，以减少因不可抗力造成的损失。遇有不可抗力的一方，应在24小时内将事件的情况以信件或传真的书面形式通知另一方，并且在事件发生后7日内，向另一方提交合同不能履行或部分不能履行或需要延期的报告。</w:t>
      </w:r>
    </w:p>
    <w:p>
      <w:pPr>
        <w:spacing w:line="606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第六条 保密条款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双方均对本协议的签订、内容、执行、以及因本协议签订及履行而了解的信息负有保密的责任。否则，违约方应赔偿所造成的损失。</w:t>
      </w:r>
    </w:p>
    <w:p>
      <w:pPr>
        <w:spacing w:line="606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 xml:space="preserve"> 第七条 违约责任与解除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7.1乙方未按照本协议第3.2条约定工期开工、完工，自逾期之日起至违约行为终止之日止，按照每日*****元承担违约责任；违约期限超过**天，视为根本违约，除继续承担违约金之外，尚应按照本协议根本违约的规定承担违约责任。 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乙方因本条约定承担违约金最高不超过**元。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7.2项目用地通过“招、拍、挂”等方式依法出让的，乙方或项目公司未竞得土地或竞得后最终未取得土地使用权的，本合同自动终止，不再对双方具有约束力，且任何一方不承担违约责任。</w:t>
      </w:r>
    </w:p>
    <w:p>
      <w:pPr>
        <w:pStyle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7.3乙方依法竞得项目土地但未按《出让合同》之约定及时、全额缴纳土地出让价款，导致《出让合同》被解除或终止的，本合同自动终止，不影响违约条款及争议解决条款。</w:t>
      </w:r>
    </w:p>
    <w:p>
      <w:pPr>
        <w:pStyle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7.4乙方依法竞得项目土地但未按《出让合同》之约定履行相应合同义务，导致国有土地使用权被依法收回的，本合同自动终止，不影响违约条款及争议解决条款。</w:t>
      </w:r>
    </w:p>
    <w:p>
      <w:pPr>
        <w:spacing w:line="606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第八条 法律适用于争议解决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8.1 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本协议的订立、有效性、解释、履行以及本协议所产生的任何争议解决，均适用于中华人民共和国的法律并按其进行解释。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8.2甲、乙双方因执行本协议产生争议，应首先友好协商解决，协商不成的，依照《中华人民共和国行政诉讼法》、最高人民法院《关于审理行政协议案件若干问题的规定》执行。</w:t>
      </w:r>
    </w:p>
    <w:p>
      <w:pPr>
        <w:spacing w:line="606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第九条 其他事项</w:t>
      </w:r>
    </w:p>
    <w:p>
      <w:pPr>
        <w:spacing w:line="606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9.1本协议未尽事宜，甲、乙双方再行商定签订补充协议。补充协议为本协议有效组成部分，与本协议有同等法律效力，补充协议与本协议不符的，以补充协议为准。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9.2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本协议自甲、乙双方法定代表人或授权代表人签字盖章之日起生效，本协议项下乙方各项义务全部履行完毕之日终止。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9.3本协议签署一式【6】份，甲、乙双方各持【2】份，项目（合同）监管办、项目引进部门各【1】份。每份协议具有同等法律效力。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甲方（公章）：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甲方法定代表人：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签署日期：    年   月   日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乙方（公章）：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甲方法定代表人：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r>
        <w:rPr>
          <w:rFonts w:hint="eastAsia" w:ascii="仿宋_GB2312" w:hAnsi="仿宋_GB2312" w:eastAsia="仿宋_GB2312" w:cs="仿宋_GB2312"/>
          <w:sz w:val="32"/>
          <w:szCs w:val="32"/>
        </w:rPr>
        <w:t>签署日期：     年   月   日</w:t>
      </w:r>
    </w:p>
    <w:sectPr>
      <w:pgSz w:w="11906" w:h="16838"/>
      <w:pgMar w:top="1587" w:right="1587" w:bottom="147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AC1303"/>
    <w:rsid w:val="066E4433"/>
    <w:rsid w:val="12DF42E5"/>
    <w:rsid w:val="13FD489C"/>
    <w:rsid w:val="1BAC1303"/>
    <w:rsid w:val="251D2BA9"/>
    <w:rsid w:val="27925BB9"/>
    <w:rsid w:val="2FC31598"/>
    <w:rsid w:val="321D20AD"/>
    <w:rsid w:val="32AC1C2D"/>
    <w:rsid w:val="3D0A1A0E"/>
    <w:rsid w:val="46FF296B"/>
    <w:rsid w:val="4F005DC9"/>
    <w:rsid w:val="5C4278FD"/>
    <w:rsid w:val="5EC36296"/>
    <w:rsid w:val="7AD24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2021-07-14T06:22:00Z</dcterms:created>
  <dc:creator>Administrator</dc:creator>
  <cp:lastModifiedBy>金连东</cp:lastModifiedBy>
  <cp:lastPrinted>2021-07-29T09:53:00Z</cp:lastPrinted>
  <dcterms:modified xsi:type="dcterms:W3CDTF">2021-08-06T07:00:03Z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4B64D36C4FC141F48BCC77D9DACA16DF</vt:lpwstr>
  </property>
</Properties>
</file>