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华文仿宋"/>
          <w:b/>
          <w:sz w:val="56"/>
          <w:szCs w:val="56"/>
        </w:rPr>
      </w:pPr>
      <w:bookmarkStart w:id="0" w:name="_Hlk34326976"/>
    </w:p>
    <w:p>
      <w:pPr>
        <w:jc w:val="center"/>
        <w:rPr>
          <w:rFonts w:ascii="宋体" w:hAnsi="宋体" w:cs="华文仿宋"/>
          <w:b/>
          <w:sz w:val="56"/>
          <w:szCs w:val="56"/>
        </w:rPr>
      </w:pPr>
    </w:p>
    <w:p>
      <w:pPr>
        <w:jc w:val="center"/>
        <w:rPr>
          <w:rFonts w:ascii="宋体" w:hAnsi="宋体" w:cs="华文仿宋"/>
          <w:b/>
          <w:sz w:val="56"/>
          <w:szCs w:val="56"/>
        </w:rPr>
      </w:pPr>
      <w:r>
        <w:rPr>
          <w:rFonts w:hint="eastAsia" w:ascii="宋体" w:hAnsi="宋体" w:cs="华文仿宋"/>
          <w:b/>
          <w:sz w:val="56"/>
          <w:szCs w:val="56"/>
        </w:rPr>
        <w:t>总部研发基地项目</w:t>
      </w:r>
    </w:p>
    <w:p>
      <w:pPr>
        <w:jc w:val="center"/>
        <w:rPr>
          <w:rFonts w:ascii="宋体" w:cs="华文仿宋"/>
          <w:b/>
          <w:sz w:val="48"/>
          <w:szCs w:val="48"/>
        </w:rPr>
      </w:pPr>
      <w:r>
        <w:rPr>
          <w:rFonts w:hint="eastAsia" w:ascii="宋体" w:hAnsi="宋体" w:cs="华文仿宋"/>
          <w:b/>
          <w:sz w:val="56"/>
          <w:szCs w:val="56"/>
        </w:rPr>
        <w:t>用地建设监管协议书</w:t>
      </w:r>
    </w:p>
    <w:bookmarkEnd w:id="0"/>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rPr>
          <w:rFonts w:ascii="宋体" w:cs="华文仿宋"/>
          <w:b/>
          <w:sz w:val="52"/>
          <w:szCs w:val="52"/>
        </w:rPr>
      </w:pPr>
    </w:p>
    <w:p>
      <w:pPr>
        <w:jc w:val="center"/>
        <w:rPr>
          <w:rFonts w:ascii="宋体" w:cs="华文仿宋"/>
          <w:b/>
          <w:sz w:val="52"/>
          <w:szCs w:val="52"/>
        </w:rPr>
      </w:pPr>
    </w:p>
    <w:p>
      <w:pPr>
        <w:jc w:val="center"/>
        <w:rPr>
          <w:rFonts w:ascii="宋体" w:hAnsi="宋体" w:cs="华文仿宋"/>
          <w:b/>
          <w:sz w:val="40"/>
          <w:szCs w:val="52"/>
        </w:rPr>
      </w:pPr>
    </w:p>
    <w:p>
      <w:pPr>
        <w:jc w:val="center"/>
        <w:rPr>
          <w:rFonts w:ascii="宋体" w:hAnsi="宋体" w:cs="华文仿宋"/>
          <w:b/>
          <w:sz w:val="40"/>
          <w:szCs w:val="52"/>
        </w:rPr>
      </w:pPr>
      <w:r>
        <w:rPr>
          <w:rFonts w:hint="eastAsia" w:ascii="宋体" w:hAnsi="宋体" w:cs="华文仿宋"/>
          <w:b/>
          <w:sz w:val="40"/>
          <w:szCs w:val="52"/>
        </w:rPr>
        <w:t>年     月     日</w:t>
      </w:r>
    </w:p>
    <w:p>
      <w:pPr>
        <w:jc w:val="center"/>
        <w:rPr>
          <w:rFonts w:ascii="宋体" w:cs="华文仿宋"/>
          <w:b/>
          <w:sz w:val="52"/>
          <w:szCs w:val="5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甲方：沈阳市浑南区人民政府</w:t>
      </w:r>
    </w:p>
    <w:p>
      <w:pPr>
        <w:rPr>
          <w:rFonts w:ascii="仿宋_GB2312" w:eastAsia="仿宋_GB2312"/>
          <w:sz w:val="32"/>
          <w:szCs w:val="32"/>
        </w:rPr>
      </w:pPr>
      <w:r>
        <w:rPr>
          <w:rFonts w:hint="eastAsia" w:ascii="仿宋_GB2312" w:eastAsia="仿宋_GB2312"/>
          <w:sz w:val="32"/>
          <w:szCs w:val="32"/>
        </w:rPr>
        <w:t>法定代表人：</w:t>
      </w:r>
    </w:p>
    <w:p>
      <w:pPr>
        <w:rPr>
          <w:rFonts w:ascii="仿宋_GB2312" w:eastAsia="仿宋_GB2312"/>
          <w:sz w:val="32"/>
          <w:szCs w:val="32"/>
        </w:rPr>
      </w:pPr>
      <w:r>
        <w:rPr>
          <w:rFonts w:hint="eastAsia" w:ascii="仿宋_GB2312" w:eastAsia="仿宋_GB2312"/>
          <w:sz w:val="32"/>
          <w:szCs w:val="32"/>
        </w:rPr>
        <w:t>住所地：辽宁省沈阳市浑南区世纪路13号</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乙方：</w:t>
      </w:r>
    </w:p>
    <w:p>
      <w:pPr>
        <w:rPr>
          <w:rFonts w:ascii="仿宋_GB2312" w:eastAsia="仿宋_GB2312"/>
          <w:sz w:val="32"/>
          <w:szCs w:val="32"/>
        </w:rPr>
      </w:pPr>
      <w:r>
        <w:rPr>
          <w:rFonts w:hint="eastAsia" w:ascii="仿宋_GB2312" w:eastAsia="仿宋_GB2312"/>
          <w:sz w:val="32"/>
          <w:szCs w:val="32"/>
        </w:rPr>
        <w:t>法定代表人：</w:t>
      </w:r>
    </w:p>
    <w:p>
      <w:pPr>
        <w:rPr>
          <w:rFonts w:ascii="仿宋_GB2312" w:eastAsia="仿宋_GB2312"/>
          <w:sz w:val="32"/>
          <w:szCs w:val="32"/>
        </w:rPr>
      </w:pPr>
      <w:r>
        <w:rPr>
          <w:rFonts w:hint="eastAsia" w:ascii="仿宋_GB2312" w:eastAsia="仿宋_GB2312"/>
          <w:sz w:val="32"/>
          <w:szCs w:val="32"/>
        </w:rPr>
        <w:t>住所地：</w:t>
      </w:r>
    </w:p>
    <w:p>
      <w:pPr>
        <w:rPr>
          <w:rFonts w:ascii="仿宋_GB2312" w:eastAsia="仿宋_GB2312"/>
          <w:sz w:val="32"/>
          <w:szCs w:val="32"/>
        </w:rPr>
      </w:pPr>
      <w:r>
        <w:rPr>
          <w:rFonts w:hint="eastAsia" w:ascii="仿宋_GB2312" w:eastAsia="仿宋_GB2312"/>
          <w:sz w:val="32"/>
          <w:szCs w:val="32"/>
        </w:rPr>
        <w:t>常用办公地点：</w:t>
      </w:r>
    </w:p>
    <w:p>
      <w:pPr>
        <w:rPr>
          <w:rFonts w:ascii="仿宋" w:hAnsi="仿宋" w:eastAsia="仿宋" w:cs="华文仿宋"/>
          <w:b/>
          <w:sz w:val="32"/>
          <w:szCs w:val="32"/>
        </w:rPr>
      </w:pP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根据《中华人民共和国民法典》、《中华人民共和国土地管理法》、《中华人民共和国城市房地产管理法》、《中华人民共和国城乡规划法》和其他相关法律法规及甲方的地方性政策的规定，甲乙双方本着平等、自愿、有偿、诚信的原则，依据浑南区（沈阳高新区）主导产业发展方向，经友好协商，就乙方</w:t>
      </w:r>
      <w:bookmarkStart w:id="1" w:name="_Hlk34327093"/>
      <w:r>
        <w:rPr>
          <w:rFonts w:hint="eastAsia" w:ascii="仿宋_GB2312" w:eastAsia="仿宋_GB2312"/>
          <w:sz w:val="32"/>
          <w:szCs w:val="32"/>
        </w:rPr>
        <w:t>在沈阳市浑南区投资建设产业项目达成如下协议</w:t>
      </w:r>
      <w:bookmarkEnd w:id="1"/>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360" w:lineRule="auto"/>
        <w:ind w:firstLine="57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第一条 产业要求</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eastAsia="仿宋_GB2312"/>
          <w:sz w:val="32"/>
          <w:szCs w:val="32"/>
        </w:rPr>
      </w:pPr>
      <w:bookmarkStart w:id="2" w:name="OLE_LINK11"/>
      <w:bookmarkStart w:id="3" w:name="OLE_LINK39"/>
      <w:r>
        <w:rPr>
          <w:rFonts w:hint="eastAsia" w:ascii="仿宋_GB2312" w:eastAsia="仿宋_GB2312"/>
          <w:sz w:val="32"/>
          <w:szCs w:val="32"/>
        </w:rPr>
        <w:t>1.1产业方向（主导产业及产业链）及社会效益：</w:t>
      </w:r>
      <w:bookmarkEnd w:id="2"/>
      <w:bookmarkEnd w:id="3"/>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结合我区“一区十二园”空间布局，根据园区内现有土地及产业发展情况，围绕新材料领域开展靶向招商、定向引资，提高产业用地的使用效率，确保产业链条早成规模、早见成效。按照产业先导性、土地集约型、建筑标志性的要求，打造新材料领域的总部研发基地。作为总部研发基地，乙方或乙方集团下属公司在浑南区需已有占地不少于的350亩的在建或已投产新材料产业项目作为实体产业支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1.2建设内容及规模要求：</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hAnsi="仿宋_GB2312" w:eastAsia="仿宋_GB2312" w:cs="仿宋_GB2312"/>
          <w:b/>
          <w:sz w:val="32"/>
          <w:szCs w:val="32"/>
        </w:rPr>
      </w:pPr>
      <w:r>
        <w:rPr>
          <w:rFonts w:hint="eastAsia" w:ascii="仿宋" w:hAnsi="仿宋" w:eastAsia="仿宋" w:cs="仿宋"/>
          <w:sz w:val="32"/>
          <w:szCs w:val="32"/>
        </w:rPr>
        <w:t>亩均投资强度不低于500万元，基地下设研发中心、结算中心、金融中心、投资及并购中心、管控中心等五大功能中心。同时建设成立院士专家工作站，形成新材料领域高新技术专家核心团队，成立省级制造业创新中心、新型研发载体、双创特色载体等产业创新及研发支撑载体，建立稀土功能材料制造业研究院及创新中心、打造国家级众创空间、孵化器，组织国际稀土产品交流高端论坛，开展有色金属大宗商品交易及供应链业务等。</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第二条 项目用地</w:t>
      </w:r>
    </w:p>
    <w:p>
      <w:pPr>
        <w:keepNext w:val="0"/>
        <w:keepLines w:val="0"/>
        <w:pageBreakBefore w:val="0"/>
        <w:widowControl w:val="0"/>
        <w:kinsoku/>
        <w:wordWrap/>
        <w:overflowPunct/>
        <w:topLinePunct w:val="0"/>
        <w:autoSpaceDE/>
        <w:autoSpaceDN/>
        <w:bidi w:val="0"/>
        <w:adjustRightInd/>
        <w:snapToGrid/>
        <w:spacing w:line="360" w:lineRule="auto"/>
        <w:ind w:firstLine="627"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2.1项目用地面积及位置：用地面积为3.68亩（2450.59平方米），位于白塔街道，</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项目用地具体位置以自然资源部门最终核定的用地规划红线为准）。</w:t>
      </w:r>
    </w:p>
    <w:p>
      <w:pPr>
        <w:keepNext w:val="0"/>
        <w:keepLines w:val="0"/>
        <w:pageBreakBefore w:val="0"/>
        <w:widowControl w:val="0"/>
        <w:kinsoku/>
        <w:wordWrap/>
        <w:overflowPunct/>
        <w:topLinePunct w:val="0"/>
        <w:autoSpaceDE/>
        <w:autoSpaceDN/>
        <w:bidi w:val="0"/>
        <w:adjustRightInd/>
        <w:snapToGrid/>
        <w:spacing w:line="360" w:lineRule="auto"/>
        <w:ind w:firstLine="627"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2.2项目用地规划用途及规划指标</w:t>
      </w:r>
      <w:bookmarkStart w:id="5" w:name="_GoBack"/>
      <w:bookmarkEnd w:id="5"/>
    </w:p>
    <w:p>
      <w:pPr>
        <w:keepNext w:val="0"/>
        <w:keepLines w:val="0"/>
        <w:pageBreakBefore w:val="0"/>
        <w:widowControl w:val="0"/>
        <w:kinsoku/>
        <w:wordWrap/>
        <w:overflowPunct/>
        <w:topLinePunct w:val="0"/>
        <w:autoSpaceDE/>
        <w:autoSpaceDN/>
        <w:bidi w:val="0"/>
        <w:adjustRightInd/>
        <w:snapToGrid/>
        <w:spacing w:line="360" w:lineRule="auto"/>
        <w:ind w:firstLine="627" w:firstLineChars="196"/>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项目用地规划用途为一类工业用地（M1），容积率不小于1.0，建筑密度不少于35%，绿化率不高于15%。项目用地的具体规划条件及经济技术指标以自然资源主管部门审定的建设工程设计方案为准。</w:t>
      </w:r>
      <w:r>
        <w:rPr>
          <w:rFonts w:hint="eastAsia" w:ascii="仿宋_GB2312" w:hAnsi="仿宋_GB2312" w:eastAsia="仿宋_GB2312" w:cs="仿宋_GB2312"/>
          <w:sz w:val="32"/>
          <w:szCs w:val="32"/>
          <w:lang w:val="en-US" w:eastAsia="zh-CN"/>
        </w:rPr>
        <w:t>所需行政办公及生活服务设施用地面积不得超过工业项目总用地面积的7%，可与GN-KJ-03-06/11-1(辽（2020）沈阳市不动产权第0475432号)地块综合平衡。容积率、绿地率及建筑密度可与GN-KJ-03-06/11-1(辽（2020）沈阳市不动产权第0475432号)地块综合平衡。</w:t>
      </w:r>
    </w:p>
    <w:p>
      <w:pPr>
        <w:keepNext w:val="0"/>
        <w:keepLines w:val="0"/>
        <w:pageBreakBefore w:val="0"/>
        <w:widowControl w:val="0"/>
        <w:kinsoku/>
        <w:wordWrap/>
        <w:overflowPunct/>
        <w:topLinePunct w:val="0"/>
        <w:autoSpaceDE/>
        <w:autoSpaceDN/>
        <w:bidi w:val="0"/>
        <w:adjustRightInd/>
        <w:snapToGrid/>
        <w:spacing w:line="360" w:lineRule="auto"/>
        <w:ind w:firstLine="627"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2.3项目用地国有建设用地使用权由乙方以招、拍、挂等合法的方式取得，项目用地成交价款以乙方竞得价为准。</w:t>
      </w:r>
    </w:p>
    <w:p>
      <w:pPr>
        <w:keepNext w:val="0"/>
        <w:keepLines w:val="0"/>
        <w:pageBreakBefore w:val="0"/>
        <w:widowControl w:val="0"/>
        <w:kinsoku/>
        <w:wordWrap/>
        <w:overflowPunct/>
        <w:topLinePunct w:val="0"/>
        <w:autoSpaceDE/>
        <w:autoSpaceDN/>
        <w:bidi w:val="0"/>
        <w:adjustRightInd/>
        <w:snapToGrid/>
        <w:spacing w:line="360" w:lineRule="auto"/>
        <w:ind w:firstLine="627"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2.4乙方依成交确认书全额缴纳项目用地土地成交款后，办理项目用地《国有土地使用权证》过程中所发生的税、费由乙方据实交纳。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ascii="仿宋_GB2312" w:hAnsi="宋体" w:eastAsia="仿宋_GB2312" w:cs="宋体"/>
          <w:kern w:val="0"/>
          <w:sz w:val="32"/>
          <w:szCs w:val="32"/>
        </w:rPr>
      </w:pPr>
      <w:r>
        <w:rPr>
          <w:rFonts w:hint="eastAsia" w:ascii="仿宋_GB2312" w:hAnsi="仿宋_GB2312" w:eastAsia="仿宋_GB2312" w:cs="仿宋_GB2312"/>
          <w:sz w:val="32"/>
          <w:szCs w:val="32"/>
        </w:rPr>
        <w:t>2.5项目用地的基础设施配套需满足乙方项目建设需求</w:t>
      </w:r>
      <w:r>
        <w:rPr>
          <w:rFonts w:hint="eastAsia" w:ascii="仿宋_GB2312" w:hAnsi="仿宋_GB2312" w:eastAsia="仿宋_GB2312" w:cs="仿宋_GB2312"/>
          <w:kern w:val="0"/>
          <w:sz w:val="32"/>
          <w:szCs w:val="32"/>
        </w:rPr>
        <w:t>。项目相关国家规定的合理收费由乙方承担。</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第三条 投资、强度、进度要求</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3.1本项目投资总额不低于0.35亿元人民币，其中固定资产投资额不低于人民币0.15亿元，投资强度不低于人民币500万元/亩。</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3.2乙方确保该项目在《国有建设用地使用权出让合同》   签订之日起6个月内开工建设，12个月内达到正负零，24个月内竣工验收并投产运营。 建设周期为24个月。</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3.3开工之日起一年内总投资额不低于人民币0.15亿元。</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3.4乙方应当依本协议约定，在甲方辖区内设立全资项目公司，项目公司的注册资本金不低于人民币100000万元。</w:t>
      </w:r>
      <w:r>
        <w:rPr>
          <w:rFonts w:hint="eastAsia" w:ascii="仿宋_GB2312" w:hAnsi="仿宋_GB2312" w:eastAsia="仿宋_GB2312" w:cs="仿宋_GB2312"/>
          <w:bCs/>
          <w:sz w:val="32"/>
          <w:szCs w:val="32"/>
        </w:rPr>
        <w:t>项目公司须在沈阳市浑南区连续经营且纳税满20年，中途不得迁出。</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第四条 责任与义务</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4.1</w:t>
      </w:r>
      <w:bookmarkStart w:id="4" w:name="_Hlk34050183"/>
      <w:r>
        <w:rPr>
          <w:rFonts w:hint="eastAsia" w:ascii="仿宋_GB2312" w:hAnsi="仿宋_GB2312" w:eastAsia="仿宋_GB2312" w:cs="仿宋_GB2312"/>
          <w:sz w:val="32"/>
          <w:szCs w:val="32"/>
        </w:rPr>
        <w:t>若乙方未能在出让合同约定期内开、竣工，甲方有权责成相关部门就乙方开竣工违约、闲置土地追究相应的法律责任。</w:t>
      </w:r>
    </w:p>
    <w:bookmarkEnd w:id="4"/>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4.2乙方在甲方辖区内注册的合法项目公司根据国家相关规定，依法通过“招、拍、挂”方式竞得项目用地土地使用权，并按成交确认书及国有土地出让合同规定，按期足额支付土地价款及相关费用。</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4.3乙方及项目公司建设生产期间必须做好本企业的安全、治安、保卫工作，出现任何问题均由乙方自行承担责任。</w:t>
      </w:r>
    </w:p>
    <w:p>
      <w:pPr>
        <w:keepNext w:val="0"/>
        <w:keepLines w:val="0"/>
        <w:pageBreakBefore w:val="0"/>
        <w:widowControl w:val="0"/>
        <w:kinsoku/>
        <w:wordWrap/>
        <w:overflowPunct/>
        <w:topLinePunct w:val="0"/>
        <w:autoSpaceDE/>
        <w:autoSpaceDN/>
        <w:bidi w:val="0"/>
        <w:spacing w:line="360" w:lineRule="auto"/>
        <w:textAlignment w:val="auto"/>
        <w:rPr>
          <w:rFonts w:hint="default" w:eastAsia="仿宋_GB2312"/>
          <w:b w:val="0"/>
          <w:bCs/>
          <w:lang w:val="en-US" w:eastAsia="zh-CN"/>
        </w:rPr>
      </w:pPr>
      <w:r>
        <w:rPr>
          <w:rFonts w:hint="eastAsia" w:ascii="仿宋_GB2312" w:hAnsi="仿宋_GB2312" w:eastAsia="仿宋_GB2312" w:cs="仿宋_GB2312"/>
          <w:b w:val="0"/>
          <w:bCs/>
          <w:sz w:val="32"/>
          <w:szCs w:val="32"/>
        </w:rPr>
        <w:t>乙方及因开发经营该地块而成立的项目公司须在沈阳市浑南区注册且自竞得项目地块之日起二十年内不得迁出浑南区。</w:t>
      </w:r>
      <w:r>
        <w:rPr>
          <w:rFonts w:hint="eastAsia" w:ascii="仿宋_GB2312" w:hAnsi="仿宋_GB2312" w:eastAsia="仿宋_GB2312" w:cs="仿宋_GB2312"/>
          <w:b w:val="0"/>
          <w:bCs/>
          <w:sz w:val="32"/>
          <w:szCs w:val="32"/>
          <w:lang w:val="en-US" w:eastAsia="zh-CN"/>
        </w:rPr>
        <w:t>并在浑南区上缴全部税金。</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第五条 不可抗力</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由于不可抗力造成的部分或全部不能履行本协议，甲、乙双方均不负责任。但应在条件允许的情况下采取一切必要补救措施，以减少因不可抗力造成的损失。遇有不可抗力的一方，应在24小时内将事件的情况以信件或传真的书面形式通知另一方，并且在事件发生后7日内，向另一方提交合同不能履行或部分不能履行或需要延期的报告。</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第六条 违约与解除</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6.1任何一方不履行本协议约定的义务，或者履行义务不符合约定的，均视为违约，对方有权要求违约方赔偿因其违约行为所造成的损失。</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6.2项目用地通过“招、拍、挂”等方式依法出让的，乙方或项目公司未竞得土地或竞得后最终未取得土地使用权的，本合同自动终止，不再对双方具有约束力，且任何一方不承担违约责任。</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6.3乙方依法竞得项目土地但未按《出让合同》之约定及时、全额缴纳土地出让价款，导致《出让合同》被解除或终止的，本合同自动终止，不再对双方具有约束力。</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6.4乙方依法竞得项目土地但未按《出让合同》之约定履行相应合同义务，导致国有土地使用权被依法收回的，本合同自动终止，不再对双方具有约束力。</w:t>
      </w:r>
    </w:p>
    <w:p>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第七条 法律适用于争议解决</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bCs/>
          <w:sz w:val="32"/>
          <w:szCs w:val="32"/>
        </w:rPr>
        <w:t>本协议的订立、有效性、解释、履行以及本协议所产生的任何争议解决，均适用于中华人民共和国的法律并按其进行解释。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甲方根据《中华人民共和国行政诉讼法》最高人民法院《关于审理行政协议案件若干问题的规定》等有关法律规定，可以直接作出合同履行、解除、变更等决定；针对乙方未按照本协议约定履行义务，经催告后不履行，甲方有权作出要求履行书面决定。乙方收到书面决定后在法定期限内未申请行政复议或者提起行政诉讼，且仍不履行，甲方可以申请甲方所在地法院强制执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.3乙方对甲方的履行、变更、解除等决定不服的，有权向甲方所在地有管辖权的人民法院提起诉讼。</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甲、乙双方因执行本协议产生争议，应首先友好协商解决，协商不成的，</w:t>
      </w:r>
      <w:r>
        <w:rPr>
          <w:rFonts w:hint="eastAsia" w:ascii="仿宋" w:hAnsi="仿宋" w:eastAsia="仿宋" w:cs="仿宋"/>
          <w:bCs/>
          <w:color w:val="000000" w:themeColor="text1"/>
          <w:sz w:val="32"/>
          <w:szCs w:val="32"/>
          <w:lang w:val="en-US" w:eastAsia="zh-CN"/>
          <w14:textFill>
            <w14:solidFill>
              <w14:schemeClr w14:val="tx1"/>
            </w14:solidFill>
          </w14:textFill>
        </w:rPr>
        <w:t>任何一方均</w:t>
      </w:r>
      <w:r>
        <w:rPr>
          <w:rFonts w:ascii="仿宋" w:hAnsi="仿宋" w:eastAsia="仿宋" w:cs="仿宋"/>
          <w:bCs/>
          <w:color w:val="000000" w:themeColor="text1"/>
          <w:sz w:val="32"/>
          <w:szCs w:val="32"/>
          <w14:textFill>
            <w14:solidFill>
              <w14:schemeClr w14:val="tx1"/>
            </w14:solidFill>
          </w14:textFill>
        </w:rPr>
        <w:t>可</w:t>
      </w:r>
      <w:r>
        <w:rPr>
          <w:rFonts w:hint="eastAsia" w:ascii="仿宋_GB2312" w:hAnsi="仿宋_GB2312" w:eastAsia="仿宋_GB2312" w:cs="仿宋_GB2312"/>
          <w:sz w:val="32"/>
          <w:szCs w:val="32"/>
        </w:rPr>
        <w:t>依照《中华人民共和国行政诉讼法》、最高人民法院《关于审理行政协议案件若干问题的规定》</w:t>
      </w:r>
      <w:r>
        <w:rPr>
          <w:rFonts w:ascii="仿宋" w:hAnsi="仿宋" w:eastAsia="仿宋" w:cs="仿宋"/>
          <w:bCs/>
          <w:color w:val="000000" w:themeColor="text1"/>
          <w:sz w:val="32"/>
          <w:szCs w:val="32"/>
          <w14:textFill>
            <w14:solidFill>
              <w14:schemeClr w14:val="tx1"/>
            </w14:solidFill>
          </w14:textFill>
        </w:rPr>
        <w:t>向甲方住所地有管辖权的法院提起诉讼</w:t>
      </w:r>
      <w:r>
        <w:rPr>
          <w:rFonts w:hint="eastAsia" w:ascii="仿宋" w:hAnsi="仿宋" w:eastAsia="仿宋" w:cs="仿宋"/>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第八条 其他事项</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8.1本协议未尽事宜，甲、乙双方再行商定签订补充协议。补充协议为本协议有效组成部分，与本协议有同等法律效力，补充协议与本协议不符的，以补充协议为准。如用地性质发生变化，甲、乙双方可再行商定签订新的监管协议，但不得变更主要建设内容及投资强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8.2</w:t>
      </w:r>
      <w:r>
        <w:rPr>
          <w:rFonts w:hint="eastAsia" w:ascii="仿宋_GB2312" w:hAnsi="仿宋_GB2312" w:eastAsia="仿宋_GB2312" w:cs="仿宋_GB2312"/>
          <w:bCs/>
          <w:sz w:val="32"/>
          <w:szCs w:val="32"/>
        </w:rPr>
        <w:t>本协议自甲、乙双方法定代表人或授权代表人签字盖章之日起生效，本协议项下乙方各项义务全部履行完毕之日终止。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8.3本协议签署一式【6】份，甲、乙双方各持【2】份，项目（合同）监管办、项目引进部门各【1】份。每份协议具有同等法律效力。</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（以下无正文）</w:t>
      </w:r>
    </w:p>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（协议签署页）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甲方法定代表人：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签署日期：    年   月   日</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甲方法定代表人：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签署日期：     年   月   日</w:t>
      </w:r>
    </w:p>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28"/>
    <w:rsid w:val="000F18F8"/>
    <w:rsid w:val="00100318"/>
    <w:rsid w:val="00223076"/>
    <w:rsid w:val="003F5A1A"/>
    <w:rsid w:val="00473617"/>
    <w:rsid w:val="005A30CE"/>
    <w:rsid w:val="005A334D"/>
    <w:rsid w:val="00607E4A"/>
    <w:rsid w:val="006227D6"/>
    <w:rsid w:val="00772FA0"/>
    <w:rsid w:val="00780128"/>
    <w:rsid w:val="00952AE0"/>
    <w:rsid w:val="00B95E3E"/>
    <w:rsid w:val="00BE7B55"/>
    <w:rsid w:val="00D66D6A"/>
    <w:rsid w:val="00E23169"/>
    <w:rsid w:val="00ED30C7"/>
    <w:rsid w:val="00FA3F85"/>
    <w:rsid w:val="10271C67"/>
    <w:rsid w:val="1E6054CF"/>
    <w:rsid w:val="24027C43"/>
    <w:rsid w:val="2A9119E4"/>
    <w:rsid w:val="2BA11069"/>
    <w:rsid w:val="42C01A42"/>
    <w:rsid w:val="5DC26EF7"/>
    <w:rsid w:val="67CB1A77"/>
    <w:rsid w:val="681A760A"/>
    <w:rsid w:val="6AB03B73"/>
    <w:rsid w:val="79B7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99"/>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annotation subject"/>
    <w:basedOn w:val="2"/>
    <w:next w:val="2"/>
    <w:link w:val="11"/>
    <w:qFormat/>
    <w:uiPriority w:val="0"/>
    <w:rPr>
      <w:b/>
      <w:bCs/>
    </w:rPr>
  </w:style>
  <w:style w:type="character" w:styleId="7">
    <w:name w:val="page number"/>
    <w:qFormat/>
    <w:uiPriority w:val="99"/>
    <w:rPr>
      <w:rFonts w:cs="Times New Roman"/>
    </w:rPr>
  </w:style>
  <w:style w:type="character" w:styleId="8">
    <w:name w:val="annotation reference"/>
    <w:basedOn w:val="6"/>
    <w:qFormat/>
    <w:uiPriority w:val="99"/>
    <w:rPr>
      <w:sz w:val="21"/>
      <w:szCs w:val="21"/>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 w:type="character" w:customStyle="1" w:styleId="10">
    <w:name w:val="批注文字 字符"/>
    <w:basedOn w:val="6"/>
    <w:link w:val="2"/>
    <w:qFormat/>
    <w:uiPriority w:val="99"/>
    <w:rPr>
      <w:rFonts w:ascii="Calibri" w:hAnsi="Calibri" w:eastAsia="宋体" w:cs="Times New Roman"/>
      <w:kern w:val="2"/>
      <w:sz w:val="21"/>
      <w:szCs w:val="22"/>
    </w:rPr>
  </w:style>
  <w:style w:type="character" w:customStyle="1" w:styleId="11">
    <w:name w:val="批注主题 字符"/>
    <w:basedOn w:val="10"/>
    <w:link w:val="4"/>
    <w:qFormat/>
    <w:uiPriority w:val="0"/>
    <w:rPr>
      <w:rFonts w:ascii="Calibri" w:hAnsi="Calibri" w:eastAsia="宋体" w:cs="Times New Roman"/>
      <w:b/>
      <w:bCs/>
      <w:kern w:val="2"/>
      <w:sz w:val="21"/>
      <w:szCs w:val="22"/>
    </w:rPr>
  </w:style>
  <w:style w:type="paragraph" w:customStyle="1" w:styleId="12">
    <w:name w:val="修订2"/>
    <w:hidden/>
    <w:semiHidden/>
    <w:qFormat/>
    <w:uiPriority w:val="99"/>
    <w:rPr>
      <w:rFonts w:ascii="Calibri" w:hAnsi="Calibri" w:eastAsia="宋体" w:cs="Times New Roman"/>
      <w:kern w:val="2"/>
      <w:sz w:val="21"/>
      <w:szCs w:val="22"/>
      <w:lang w:val="en-US" w:eastAsia="zh-CN" w:bidi="ar-SA"/>
    </w:rPr>
  </w:style>
  <w:style w:type="paragraph" w:customStyle="1" w:styleId="1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435</Words>
  <Characters>2480</Characters>
  <Lines>20</Lines>
  <Paragraphs>5</Paragraphs>
  <TotalTime>1</TotalTime>
  <ScaleCrop>false</ScaleCrop>
  <LinksUpToDate>false</LinksUpToDate>
  <CharactersWithSpaces>2910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2021-12-04T04:09:00Z</dcterms:created>
  <dc:creator>17486</dc:creator>
  <cp:lastModifiedBy>陈晨</cp:lastModifiedBy>
  <cp:lastPrinted>2021-12-15T01:56:00Z</cp:lastPrinted>
  <dcterms:modified xsi:type="dcterms:W3CDTF">2021-12-16T02:03:21Z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D6713645895F424593E990D77404F0EE</vt:lpwstr>
  </property>
</Properties>
</file>