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A5" w:rsidRDefault="004A27D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宋体" w:cs="Times New Roman"/>
          <w:b/>
          <w:sz w:val="44"/>
          <w:szCs w:val="44"/>
        </w:rPr>
        <w:t>沈阳市</w:t>
      </w:r>
      <w:r>
        <w:rPr>
          <w:rFonts w:ascii="Times New Roman" w:hAnsi="Times New Roman" w:cs="Times New Roman" w:hint="eastAsia"/>
          <w:b/>
          <w:sz w:val="44"/>
          <w:szCs w:val="44"/>
        </w:rPr>
        <w:t>2022</w:t>
      </w:r>
      <w:r>
        <w:rPr>
          <w:rFonts w:ascii="Times New Roman" w:hAnsi="宋体" w:cs="Times New Roman"/>
          <w:b/>
          <w:sz w:val="44"/>
          <w:szCs w:val="44"/>
        </w:rPr>
        <w:t>年度国有建设用地供应计划</w:t>
      </w:r>
    </w:p>
    <w:p w:rsidR="00947AA5" w:rsidRPr="007E7B4F" w:rsidRDefault="00947AA5">
      <w:pPr>
        <w:rPr>
          <w:rFonts w:ascii="Times New Roman" w:hAnsi="Times New Roman" w:cs="Times New Roman"/>
        </w:rPr>
      </w:pPr>
    </w:p>
    <w:p w:rsidR="00947AA5" w:rsidRDefault="004A27D9" w:rsidP="007E7B4F">
      <w:pPr>
        <w:spacing w:beforeLines="50" w:before="156" w:afterLines="50" w:after="156" w:line="560" w:lineRule="exact"/>
        <w:ind w:firstLineChars="200" w:firstLine="640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bCs/>
          <w:sz w:val="32"/>
          <w:szCs w:val="32"/>
        </w:rPr>
        <w:t>一、计划的目的、意义和编制依据</w:t>
      </w:r>
    </w:p>
    <w:p w:rsidR="00947AA5" w:rsidRDefault="004A27D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为科学安排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年度国有建设用地供应的总量、结构、布局、时序和方式，贯彻落实促进节约集约用地和国家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房地产调控</w:t>
      </w:r>
      <w:r>
        <w:rPr>
          <w:rFonts w:ascii="Times New Roman" w:eastAsia="仿宋_GB2312" w:hAnsi="Times New Roman" w:cs="Times New Roman"/>
          <w:sz w:val="32"/>
          <w:szCs w:val="32"/>
        </w:rPr>
        <w:t>的相关要求，保障全市重点建设项目及民生工程的用地需求，依据《国土资源部关于印发国有建设用地供应计划编制规范（试行）的通知》（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国土资发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117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>
        <w:rPr>
          <w:rFonts w:ascii="Times New Roman" w:eastAsia="仿宋_GB2312" w:hAnsi="Times New Roman" w:cs="Times New Roman"/>
          <w:sz w:val="32"/>
          <w:szCs w:val="32"/>
        </w:rPr>
        <w:t>自然资源部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关于住宅用地调控</w:t>
      </w:r>
      <w:r>
        <w:rPr>
          <w:rFonts w:ascii="Times New Roman" w:eastAsia="仿宋_GB2312" w:hAnsi="Times New Roman" w:cs="Times New Roman"/>
          <w:sz w:val="32"/>
          <w:szCs w:val="32"/>
        </w:rPr>
        <w:t>的有关要求，参考近年供地情况、本年度用地需求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2022年</w:t>
      </w:r>
      <w:r>
        <w:rPr>
          <w:rFonts w:ascii="仿宋_GB2312" w:eastAsia="仿宋_GB2312"/>
          <w:sz w:val="32"/>
          <w:szCs w:val="32"/>
        </w:rPr>
        <w:t>沈阳市房地产开发用地出让计划》等</w:t>
      </w:r>
      <w:r>
        <w:rPr>
          <w:rFonts w:ascii="Times New Roman" w:eastAsia="仿宋_GB2312" w:hAnsi="Times New Roman" w:cs="Times New Roman"/>
          <w:sz w:val="32"/>
          <w:szCs w:val="32"/>
        </w:rPr>
        <w:t>，制定本计划。</w:t>
      </w:r>
    </w:p>
    <w:p w:rsidR="00947AA5" w:rsidRDefault="004A27D9" w:rsidP="007E7B4F">
      <w:pPr>
        <w:spacing w:beforeLines="50" w:before="156" w:afterLines="50" w:after="156" w:line="56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黑体" w:cs="Times New Roman"/>
          <w:bCs/>
          <w:sz w:val="32"/>
          <w:szCs w:val="32"/>
        </w:rPr>
        <w:t>二、指导思想和基本原则</w:t>
      </w:r>
    </w:p>
    <w:p w:rsidR="00947AA5" w:rsidRDefault="004A27D9">
      <w:pPr>
        <w:spacing w:line="560" w:lineRule="exact"/>
        <w:ind w:firstLineChars="200" w:firstLine="643"/>
        <w:outlineLvl w:val="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楷体" w:cs="Times New Roman"/>
          <w:b/>
          <w:sz w:val="32"/>
          <w:szCs w:val="32"/>
        </w:rPr>
        <w:t>（一）</w:t>
      </w:r>
      <w:r>
        <w:rPr>
          <w:rFonts w:ascii="Times New Roman" w:eastAsia="楷体" w:hAnsi="楷体" w:cs="Times New Roman" w:hint="eastAsia"/>
          <w:b/>
          <w:sz w:val="32"/>
          <w:szCs w:val="32"/>
        </w:rPr>
        <w:t>指导</w:t>
      </w:r>
      <w:r>
        <w:rPr>
          <w:rFonts w:ascii="Times New Roman" w:eastAsia="楷体" w:hAnsi="楷体" w:cs="Times New Roman"/>
          <w:b/>
          <w:sz w:val="32"/>
          <w:szCs w:val="32"/>
        </w:rPr>
        <w:t>思想</w:t>
      </w:r>
    </w:p>
    <w:p w:rsidR="00947AA5" w:rsidRDefault="004A27D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深入贯彻</w:t>
      </w:r>
      <w:r>
        <w:rPr>
          <w:rFonts w:ascii="Times New Roman" w:eastAsia="仿宋_GB2312" w:hAnsi="Times New Roman" w:cs="Times New Roman"/>
          <w:sz w:val="32"/>
          <w:szCs w:val="32"/>
        </w:rPr>
        <w:t>党的十九大和十九届历次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全会</w:t>
      </w:r>
      <w:r>
        <w:rPr>
          <w:rFonts w:ascii="Times New Roman" w:eastAsia="仿宋_GB2312" w:hAnsi="Times New Roman" w:cs="Times New Roman"/>
          <w:sz w:val="32"/>
          <w:szCs w:val="32"/>
        </w:rPr>
        <w:t>和中央经济工作会议精神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，全面</w:t>
      </w:r>
      <w:r>
        <w:rPr>
          <w:rFonts w:ascii="Times New Roman" w:eastAsia="仿宋_GB2312" w:hAnsi="Times New Roman" w:cs="Times New Roman"/>
          <w:sz w:val="32"/>
          <w:szCs w:val="32"/>
        </w:rPr>
        <w:t>落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习近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平总书记关于东北、辽宁振兴发展的重要讲话和指示精神，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落实省第十三次党代会、省委十三届二次全会暨省委经济工作会议和市第十四次党代会、市委十四届二次全会暨市委经济工作会议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精神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省市各项决策部署，坚持稳中求进工作总基调，围绕推动沈阳新时代全面振兴全方位振兴取得新突破、努力建设国家中心城市的总目标，以加快土地利用方式转变为主线，以推进土地要素供给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侧改革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为目标，充分发挥国有建设用地供应计划在宏观调控中的指导作用，</w:t>
      </w:r>
      <w:r>
        <w:rPr>
          <w:rFonts w:ascii="Times New Roman" w:eastAsia="仿宋_GB2312" w:hAnsi="Times New Roman" w:cs="Times New Roman"/>
          <w:sz w:val="32"/>
          <w:szCs w:val="32"/>
        </w:rPr>
        <w:t>全力促进重点建设项目顺利实施和房地产市场平稳健康发展，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为沈阳市振兴</w:t>
      </w:r>
      <w:r>
        <w:rPr>
          <w:rFonts w:ascii="Times New Roman" w:eastAsia="仿宋_GB2312" w:hAnsi="Times New Roman" w:cs="Times New Roman"/>
          <w:sz w:val="32"/>
          <w:szCs w:val="32"/>
        </w:rPr>
        <w:t>发展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提供更精准的土地要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素保障。</w:t>
      </w:r>
    </w:p>
    <w:p w:rsidR="00947AA5" w:rsidRDefault="004A27D9">
      <w:pPr>
        <w:spacing w:line="560" w:lineRule="exact"/>
        <w:ind w:firstLineChars="200" w:firstLine="643"/>
        <w:outlineLvl w:val="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楷体" w:cs="Times New Roman"/>
          <w:b/>
          <w:sz w:val="32"/>
          <w:szCs w:val="32"/>
        </w:rPr>
        <w:t>（</w:t>
      </w:r>
      <w:r>
        <w:rPr>
          <w:rFonts w:ascii="Times New Roman" w:eastAsia="楷体" w:hAnsi="楷体" w:cs="Times New Roman" w:hint="eastAsia"/>
          <w:b/>
          <w:sz w:val="32"/>
          <w:szCs w:val="32"/>
        </w:rPr>
        <w:t>二</w:t>
      </w:r>
      <w:r>
        <w:rPr>
          <w:rFonts w:ascii="Times New Roman" w:eastAsia="楷体" w:hAnsi="楷体" w:cs="Times New Roman"/>
          <w:b/>
          <w:sz w:val="32"/>
          <w:szCs w:val="32"/>
        </w:rPr>
        <w:t>）</w:t>
      </w:r>
      <w:r>
        <w:rPr>
          <w:rFonts w:ascii="Times New Roman" w:eastAsia="楷体" w:hAnsi="楷体" w:cs="Times New Roman" w:hint="eastAsia"/>
          <w:b/>
          <w:sz w:val="32"/>
          <w:szCs w:val="32"/>
        </w:rPr>
        <w:t>编制原则</w:t>
      </w:r>
    </w:p>
    <w:p w:rsidR="00947AA5" w:rsidRDefault="004A27D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突出重点，</w:t>
      </w:r>
      <w:r>
        <w:rPr>
          <w:rFonts w:ascii="Times New Roman" w:eastAsia="仿宋_GB2312" w:hAnsi="Times New Roman" w:cs="Times New Roman"/>
          <w:sz w:val="32"/>
          <w:szCs w:val="32"/>
        </w:rPr>
        <w:t>保障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民生。坚持</w:t>
      </w:r>
      <w:r>
        <w:rPr>
          <w:rFonts w:ascii="Times New Roman" w:eastAsia="仿宋_GB2312" w:hAnsi="Times New Roman" w:cs="Times New Roman"/>
          <w:sz w:val="32"/>
          <w:szCs w:val="32"/>
        </w:rPr>
        <w:t>以改善社会民生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、促进</w:t>
      </w:r>
      <w:r>
        <w:rPr>
          <w:rFonts w:ascii="Times New Roman" w:eastAsia="仿宋_GB2312" w:hAnsi="Times New Roman" w:cs="Times New Roman"/>
          <w:sz w:val="32"/>
          <w:szCs w:val="32"/>
        </w:rPr>
        <w:t>区域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协调</w:t>
      </w:r>
      <w:r>
        <w:rPr>
          <w:rFonts w:ascii="Times New Roman" w:eastAsia="仿宋_GB2312" w:hAnsi="Times New Roman" w:cs="Times New Roman"/>
          <w:sz w:val="32"/>
          <w:szCs w:val="32"/>
        </w:rPr>
        <w:t>发展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推进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新型城镇化为重点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优先安排社会</w:t>
      </w:r>
      <w:r>
        <w:rPr>
          <w:rFonts w:ascii="Times New Roman" w:eastAsia="仿宋_GB2312" w:hAnsi="Times New Roman" w:cs="Times New Roman"/>
          <w:sz w:val="32"/>
          <w:szCs w:val="32"/>
        </w:rPr>
        <w:t>民生、重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大基础设施</w:t>
      </w:r>
      <w:r>
        <w:rPr>
          <w:rFonts w:ascii="Times New Roman" w:eastAsia="仿宋_GB2312" w:hAnsi="Times New Roman" w:cs="Times New Roman"/>
          <w:sz w:val="32"/>
          <w:szCs w:val="32"/>
        </w:rPr>
        <w:t>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重点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产业</w:t>
      </w:r>
      <w:r>
        <w:rPr>
          <w:rFonts w:ascii="Times New Roman" w:eastAsia="仿宋_GB2312" w:hAnsi="Times New Roman" w:cs="Times New Roman"/>
          <w:sz w:val="32"/>
          <w:szCs w:val="32"/>
        </w:rPr>
        <w:t>项目用地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进一步加大住宅用地供应，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促进用地空间</w:t>
      </w:r>
      <w:r>
        <w:rPr>
          <w:rFonts w:ascii="Times New Roman" w:eastAsia="仿宋_GB2312" w:hAnsi="Times New Roman" w:cs="Times New Roman"/>
          <w:sz w:val="32"/>
          <w:szCs w:val="32"/>
        </w:rPr>
        <w:t>调整优化、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城市</w:t>
      </w:r>
      <w:r>
        <w:rPr>
          <w:rFonts w:ascii="Times New Roman" w:eastAsia="仿宋_GB2312" w:hAnsi="Times New Roman" w:cs="Times New Roman"/>
          <w:sz w:val="32"/>
          <w:szCs w:val="32"/>
        </w:rPr>
        <w:t>功能合理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疏解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47AA5" w:rsidRDefault="004A27D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节约集约，挖掘存量。</w:t>
      </w:r>
      <w:r>
        <w:rPr>
          <w:rFonts w:ascii="Times New Roman" w:eastAsia="仿宋_GB2312" w:hAnsi="Times New Roman" w:cs="Times New Roman"/>
          <w:sz w:val="32"/>
          <w:szCs w:val="32"/>
        </w:rPr>
        <w:t>优先利用批而未供土地，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积极</w:t>
      </w:r>
      <w:r>
        <w:rPr>
          <w:rFonts w:ascii="Times New Roman" w:eastAsia="仿宋_GB2312" w:hAnsi="Times New Roman" w:cs="Times New Roman"/>
          <w:sz w:val="32"/>
          <w:szCs w:val="32"/>
        </w:rPr>
        <w:t>盘活存量土地，规范有序推进城镇低效用地开发利用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严格执行各行各业建设项目用地标准，建设项目用地规模不得突破标准控制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促进土地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节约集约高效</w:t>
      </w:r>
      <w:r>
        <w:rPr>
          <w:rFonts w:ascii="Times New Roman" w:eastAsia="仿宋_GB2312" w:hAnsi="Times New Roman" w:cs="Times New Roman"/>
          <w:sz w:val="32"/>
          <w:szCs w:val="32"/>
        </w:rPr>
        <w:t>利用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47AA5" w:rsidRDefault="004A27D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优化结构</w:t>
      </w:r>
      <w:r>
        <w:rPr>
          <w:rFonts w:ascii="Times New Roman" w:eastAsia="仿宋_GB2312" w:hAnsi="Times New Roman" w:cs="Times New Roman"/>
          <w:sz w:val="32"/>
          <w:szCs w:val="32"/>
        </w:rPr>
        <w:t>，有保有压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。积极实施</w:t>
      </w:r>
      <w:r>
        <w:rPr>
          <w:rFonts w:ascii="Times New Roman" w:eastAsia="仿宋_GB2312" w:hAnsi="Times New Roman" w:cs="Times New Roman"/>
          <w:sz w:val="32"/>
          <w:szCs w:val="32"/>
        </w:rPr>
        <w:t>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别化供地政策，加强</w:t>
      </w:r>
      <w:r>
        <w:rPr>
          <w:rFonts w:ascii="Times New Roman" w:eastAsia="仿宋_GB2312" w:hAnsi="Times New Roman" w:cs="Times New Roman"/>
          <w:sz w:val="32"/>
          <w:szCs w:val="32"/>
        </w:rPr>
        <w:t>创新型产业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发展用地保障，</w:t>
      </w:r>
      <w:r>
        <w:rPr>
          <w:rFonts w:ascii="Times New Roman" w:eastAsia="仿宋_GB2312" w:hAnsi="Times New Roman" w:cs="Times New Roman"/>
          <w:sz w:val="32"/>
          <w:szCs w:val="32"/>
        </w:rPr>
        <w:t>支持传统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优势</w:t>
      </w:r>
      <w:r>
        <w:rPr>
          <w:rFonts w:ascii="Times New Roman" w:eastAsia="仿宋_GB2312" w:hAnsi="Times New Roman" w:cs="Times New Roman"/>
          <w:sz w:val="32"/>
          <w:szCs w:val="32"/>
        </w:rPr>
        <w:t>制造业转型升级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，在城市建成区、城市新区均衡合理布局住宅用地，确保职住平衡。合理控制房地产开发用地供应规模，严格控制限制类和禁止类建设项目用地供应，推进土地要素市场化配置。</w:t>
      </w:r>
    </w:p>
    <w:p w:rsidR="00947AA5" w:rsidRDefault="004A27D9" w:rsidP="007E7B4F">
      <w:pPr>
        <w:spacing w:beforeLines="50" w:before="156" w:afterLines="50" w:after="156" w:line="56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黑体" w:cs="Times New Roman"/>
          <w:bCs/>
          <w:sz w:val="32"/>
          <w:szCs w:val="32"/>
        </w:rPr>
        <w:t>三、计划指标</w:t>
      </w:r>
    </w:p>
    <w:p w:rsidR="00947AA5" w:rsidRDefault="004A27D9">
      <w:pPr>
        <w:spacing w:line="560" w:lineRule="exact"/>
        <w:ind w:firstLineChars="200" w:firstLine="643"/>
        <w:outlineLvl w:val="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楷体" w:cs="Times New Roman"/>
          <w:b/>
          <w:sz w:val="32"/>
          <w:szCs w:val="32"/>
        </w:rPr>
        <w:t>（一）国有建设用地供应总量</w:t>
      </w:r>
    </w:p>
    <w:p w:rsidR="00947AA5" w:rsidRDefault="004A27D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全市</w:t>
      </w:r>
      <w:r>
        <w:rPr>
          <w:rFonts w:ascii="Times New Roman" w:eastAsia="仿宋_GB2312" w:hAnsi="Times New Roman" w:cs="Times New Roman"/>
          <w:sz w:val="32"/>
          <w:szCs w:val="32"/>
        </w:rPr>
        <w:t>国有建设用地供应总量控制在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2770</w:t>
      </w:r>
      <w:r>
        <w:rPr>
          <w:rFonts w:ascii="Times New Roman" w:eastAsia="仿宋_GB2312" w:hAnsi="Times New Roman" w:cs="Times New Roman"/>
          <w:sz w:val="32"/>
          <w:szCs w:val="32"/>
        </w:rPr>
        <w:t>公顷以内。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沈飞机场搬迁用地、</w:t>
      </w:r>
      <w:r>
        <w:rPr>
          <w:rFonts w:ascii="仿宋_GB2312" w:eastAsia="仿宋_GB2312" w:hint="eastAsia"/>
          <w:sz w:val="32"/>
          <w:szCs w:val="32"/>
        </w:rPr>
        <w:t>东部旅游大道建设工程、四环快速路立交化和智慧化建设工程、沈阳桃仙国际机场第二跑道建设工程项目、胜利大街快速路（南三环至南四环段）、沈白高铁、北沙河防洪及生态治理工程、养息</w:t>
      </w:r>
      <w:proofErr w:type="gramStart"/>
      <w:r>
        <w:rPr>
          <w:rFonts w:ascii="仿宋_GB2312" w:eastAsia="仿宋_GB2312" w:hint="eastAsia"/>
          <w:sz w:val="32"/>
          <w:szCs w:val="32"/>
        </w:rPr>
        <w:t>牧河新民市段</w:t>
      </w:r>
      <w:proofErr w:type="gramEnd"/>
      <w:r>
        <w:rPr>
          <w:rFonts w:ascii="仿宋_GB2312" w:eastAsia="仿宋_GB2312" w:hint="eastAsia"/>
          <w:sz w:val="32"/>
          <w:szCs w:val="32"/>
        </w:rPr>
        <w:t>河道治理工程、秀水河新民市防洪治理工程共</w:t>
      </w:r>
      <w:r>
        <w:rPr>
          <w:rFonts w:ascii="Times New Roman" w:eastAsia="仿宋_GB2312" w:hAnsi="Times New Roman" w:cs="Times New Roman"/>
          <w:sz w:val="32"/>
          <w:szCs w:val="32"/>
        </w:rPr>
        <w:t>2058</w:t>
      </w:r>
      <w:r>
        <w:rPr>
          <w:rFonts w:ascii="Times New Roman" w:eastAsia="仿宋_GB2312" w:hAnsi="Times New Roman" w:cs="Times New Roman"/>
          <w:sz w:val="32"/>
          <w:szCs w:val="32"/>
        </w:rPr>
        <w:t>公顷</w:t>
      </w:r>
      <w:r>
        <w:rPr>
          <w:rFonts w:ascii="仿宋_GB2312" w:eastAsia="仿宋_GB2312" w:hint="eastAsia"/>
          <w:sz w:val="32"/>
          <w:szCs w:val="32"/>
        </w:rPr>
        <w:t>，列为浮动计划。如以上项目今年申请供地，本年度供应计划相</w:t>
      </w:r>
      <w:r>
        <w:rPr>
          <w:rFonts w:ascii="仿宋_GB2312" w:eastAsia="仿宋_GB2312" w:hint="eastAsia"/>
          <w:sz w:val="32"/>
          <w:szCs w:val="32"/>
        </w:rPr>
        <w:lastRenderedPageBreak/>
        <w:t>应浮动。</w:t>
      </w:r>
    </w:p>
    <w:p w:rsidR="00947AA5" w:rsidRDefault="004A27D9">
      <w:pPr>
        <w:spacing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楷体" w:cs="Times New Roman"/>
          <w:b/>
          <w:sz w:val="32"/>
          <w:szCs w:val="32"/>
        </w:rPr>
        <w:t>（二）国有建设用地供应结构</w:t>
      </w:r>
    </w:p>
    <w:p w:rsidR="00947AA5" w:rsidRDefault="004A27D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全市</w:t>
      </w:r>
      <w:r>
        <w:rPr>
          <w:rFonts w:ascii="Times New Roman" w:eastAsia="仿宋_GB2312" w:hAnsi="Times New Roman" w:cs="Times New Roman"/>
          <w:sz w:val="32"/>
          <w:szCs w:val="32"/>
        </w:rPr>
        <w:t>国有建设用地供应总量中，住宅用地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484</w:t>
      </w:r>
      <w:r>
        <w:rPr>
          <w:rFonts w:ascii="Times New Roman" w:eastAsia="仿宋_GB2312" w:hAnsi="Times New Roman" w:cs="Times New Roman"/>
          <w:sz w:val="32"/>
          <w:szCs w:val="32"/>
        </w:rPr>
        <w:t>公顷，商服用地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72</w:t>
      </w:r>
      <w:r>
        <w:rPr>
          <w:rFonts w:ascii="Times New Roman" w:eastAsia="仿宋_GB2312" w:hAnsi="Times New Roman" w:cs="Times New Roman"/>
          <w:sz w:val="32"/>
          <w:szCs w:val="32"/>
        </w:rPr>
        <w:t>公顷，工矿仓储用地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531</w:t>
      </w:r>
      <w:r>
        <w:rPr>
          <w:rFonts w:ascii="Times New Roman" w:eastAsia="仿宋_GB2312" w:hAnsi="Times New Roman" w:cs="Times New Roman"/>
          <w:sz w:val="32"/>
          <w:szCs w:val="32"/>
        </w:rPr>
        <w:t>公顷，公共管理与公共服务用地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475</w:t>
      </w:r>
      <w:r>
        <w:rPr>
          <w:rFonts w:ascii="Times New Roman" w:eastAsia="仿宋_GB2312" w:hAnsi="Times New Roman" w:cs="Times New Roman"/>
          <w:sz w:val="32"/>
          <w:szCs w:val="32"/>
        </w:rPr>
        <w:t>公顷，交通运输用地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951</w:t>
      </w:r>
      <w:r>
        <w:rPr>
          <w:rFonts w:ascii="Times New Roman" w:eastAsia="仿宋_GB2312" w:hAnsi="Times New Roman" w:cs="Times New Roman"/>
          <w:sz w:val="32"/>
          <w:szCs w:val="32"/>
        </w:rPr>
        <w:t>公顷，水域及水利设施用地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公顷，特殊用地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246</w:t>
      </w:r>
      <w:r>
        <w:rPr>
          <w:rFonts w:ascii="Times New Roman" w:eastAsia="仿宋_GB2312" w:hAnsi="Times New Roman" w:cs="Times New Roman"/>
          <w:sz w:val="32"/>
          <w:szCs w:val="32"/>
        </w:rPr>
        <w:t>公顷。</w:t>
      </w:r>
    </w:p>
    <w:p w:rsidR="00947AA5" w:rsidRDefault="004A27D9">
      <w:pPr>
        <w:spacing w:line="560" w:lineRule="exact"/>
        <w:ind w:firstLineChars="200" w:firstLine="643"/>
        <w:outlineLvl w:val="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楷体" w:cs="Times New Roman"/>
          <w:b/>
          <w:sz w:val="32"/>
          <w:szCs w:val="32"/>
        </w:rPr>
        <w:t>（三）国有建设用地供应布局</w:t>
      </w:r>
    </w:p>
    <w:p w:rsidR="00947AA5" w:rsidRDefault="004A27D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全市</w:t>
      </w:r>
      <w:r>
        <w:rPr>
          <w:rFonts w:ascii="Times New Roman" w:eastAsia="仿宋_GB2312" w:hAnsi="Times New Roman" w:cs="Times New Roman"/>
          <w:sz w:val="32"/>
          <w:szCs w:val="32"/>
        </w:rPr>
        <w:t>国有建设用地供应总量中，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市区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2442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公顷，占全市总量的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88</w:t>
      </w:r>
      <w:r w:rsidR="00F802BF" w:rsidDel="00F802B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，县（市）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公顷，占全市总量的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F802BF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在全市范围内统筹安排城乡区域用地，以项目为统领，优先保证投资强度大、业态先进、牵动力强、发展后劲足的重点产业项目用地。</w:t>
      </w:r>
    </w:p>
    <w:p w:rsidR="00947AA5" w:rsidRDefault="004A27D9">
      <w:pPr>
        <w:spacing w:beforeLines="50" w:before="156" w:afterLines="50" w:after="156" w:line="56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黑体" w:cs="Times New Roman"/>
          <w:bCs/>
          <w:sz w:val="32"/>
          <w:szCs w:val="32"/>
        </w:rPr>
        <w:t>四、政策导向</w:t>
      </w:r>
    </w:p>
    <w:p w:rsidR="00947AA5" w:rsidRDefault="004A27D9">
      <w:pPr>
        <w:spacing w:line="560" w:lineRule="exact"/>
        <w:ind w:firstLineChars="200" w:firstLine="643"/>
        <w:outlineLvl w:val="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楷体" w:cs="Times New Roman"/>
          <w:b/>
          <w:sz w:val="32"/>
          <w:szCs w:val="32"/>
        </w:rPr>
        <w:t>（一）加强供应计划的引导作用</w:t>
      </w:r>
    </w:p>
    <w:p w:rsidR="00947AA5" w:rsidRDefault="004A27D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坚持计划控制引导，统一有序、规范供应。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各地应</w:t>
      </w:r>
      <w:r>
        <w:rPr>
          <w:rFonts w:ascii="Times New Roman" w:eastAsia="仿宋_GB2312" w:hAnsi="Times New Roman" w:cs="Times New Roman"/>
          <w:sz w:val="32"/>
          <w:szCs w:val="32"/>
        </w:rPr>
        <w:t>按照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本计划</w:t>
      </w:r>
      <w:r>
        <w:rPr>
          <w:rFonts w:ascii="Times New Roman" w:eastAsia="仿宋_GB2312" w:hAnsi="Times New Roman" w:cs="Times New Roman"/>
          <w:sz w:val="32"/>
          <w:szCs w:val="32"/>
        </w:rPr>
        <w:t>确定的控制指标，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科学合理</w:t>
      </w:r>
      <w:r>
        <w:rPr>
          <w:rFonts w:ascii="Times New Roman" w:eastAsia="仿宋_GB2312" w:hAnsi="Times New Roman" w:cs="Times New Roman"/>
          <w:sz w:val="32"/>
          <w:szCs w:val="32"/>
        </w:rPr>
        <w:t>实施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供应，维护政府公信力</w:t>
      </w:r>
      <w:r>
        <w:rPr>
          <w:rFonts w:ascii="Times New Roman" w:eastAsia="仿宋_GB2312" w:hAnsi="Times New Roman" w:cs="Times New Roman"/>
          <w:sz w:val="32"/>
          <w:szCs w:val="32"/>
        </w:rPr>
        <w:t>。认真落实房地产用地调控政策，重点保障城市住宅用地供应，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住宅用地供应要向租赁住房建设倾斜，</w:t>
      </w:r>
      <w:r>
        <w:rPr>
          <w:rFonts w:ascii="Times New Roman" w:eastAsia="仿宋_GB2312" w:hAnsi="Times New Roman" w:cs="Times New Roman"/>
          <w:sz w:val="32"/>
          <w:szCs w:val="32"/>
        </w:rPr>
        <w:t>对保障性住房用地实行应保尽保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47AA5" w:rsidRDefault="004A27D9">
      <w:pPr>
        <w:spacing w:line="560" w:lineRule="exact"/>
        <w:ind w:firstLineChars="200" w:firstLine="643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楷体" w:cs="Times New Roman"/>
          <w:b/>
          <w:sz w:val="32"/>
          <w:szCs w:val="32"/>
        </w:rPr>
        <w:t>（二）优化土地供应结构</w:t>
      </w:r>
    </w:p>
    <w:p w:rsidR="00947AA5" w:rsidRDefault="004A27D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突出土地要素保障在经济发展中的支撑地位，充分保障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社会</w:t>
      </w:r>
      <w:r>
        <w:rPr>
          <w:rFonts w:ascii="Times New Roman" w:eastAsia="仿宋_GB2312" w:hAnsi="Times New Roman" w:cs="Times New Roman"/>
          <w:sz w:val="32"/>
          <w:szCs w:val="32"/>
        </w:rPr>
        <w:t>民生、重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大基础设施</w:t>
      </w:r>
      <w:r>
        <w:rPr>
          <w:rFonts w:ascii="Times New Roman" w:eastAsia="仿宋_GB2312" w:hAnsi="Times New Roman" w:cs="Times New Roman"/>
          <w:sz w:val="32"/>
          <w:szCs w:val="32"/>
        </w:rPr>
        <w:t>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重点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产业</w:t>
      </w:r>
      <w:r>
        <w:rPr>
          <w:rFonts w:ascii="Times New Roman" w:eastAsia="仿宋_GB2312" w:hAnsi="Times New Roman" w:cs="Times New Roman"/>
          <w:sz w:val="32"/>
          <w:szCs w:val="32"/>
        </w:rPr>
        <w:t>项目用地需求。工矿仓储用地、公共管理与公共服务用地、交通运输用地、水域及水利设施用地、特殊用地均实行指导性计划控制，根据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年度用地需求保障供应。</w:t>
      </w:r>
    </w:p>
    <w:p w:rsidR="00947AA5" w:rsidRDefault="004A27D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各开发区严格按照功能定位、产业政策和主导发展方向，优先安排工业建设项目用地供应，从严从紧控制开发区内经营性房地产开发用地总量，防止挤占工业项目用地指标。</w:t>
      </w:r>
    </w:p>
    <w:p w:rsidR="00947AA5" w:rsidRDefault="004A27D9">
      <w:pPr>
        <w:spacing w:line="560" w:lineRule="exact"/>
        <w:ind w:firstLineChars="200" w:firstLine="643"/>
        <w:outlineLvl w:val="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楷体" w:cs="Times New Roman"/>
          <w:b/>
          <w:sz w:val="32"/>
          <w:szCs w:val="32"/>
        </w:rPr>
        <w:t>（三）促进土地集约节约利用</w:t>
      </w:r>
    </w:p>
    <w:p w:rsidR="00947AA5" w:rsidRDefault="004A27D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坚持节约集约用地政策，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科学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研判建设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用地需求，着力保障经济社会发展合理用地需求。鼓励建设项目用地整体设计、合理布局，促进节约集约开发，提倡工业用地通过合理途径提高土地利用率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47AA5" w:rsidRDefault="004A27D9">
      <w:pPr>
        <w:spacing w:line="560" w:lineRule="exact"/>
        <w:ind w:firstLineChars="200" w:firstLine="643"/>
        <w:outlineLvl w:val="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楷体" w:cs="Times New Roman"/>
          <w:b/>
          <w:sz w:val="32"/>
          <w:szCs w:val="32"/>
        </w:rPr>
        <w:t>（四）发挥市场配置资源</w:t>
      </w:r>
      <w:r>
        <w:rPr>
          <w:rFonts w:ascii="Times New Roman" w:eastAsia="楷体" w:hAnsi="楷体" w:cs="Times New Roman" w:hint="eastAsia"/>
          <w:b/>
          <w:sz w:val="32"/>
          <w:szCs w:val="32"/>
        </w:rPr>
        <w:t>决定性</w:t>
      </w:r>
      <w:r>
        <w:rPr>
          <w:rFonts w:ascii="Times New Roman" w:eastAsia="楷体" w:hAnsi="楷体" w:cs="Times New Roman"/>
          <w:b/>
          <w:sz w:val="32"/>
          <w:szCs w:val="32"/>
        </w:rPr>
        <w:t>作用</w:t>
      </w:r>
    </w:p>
    <w:p w:rsidR="00947AA5" w:rsidRDefault="004A27D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经营性用地以及同一宗地有两个以上意向用地者的，严格按照招标、拍卖或者挂牌方式有偿供地，统一在土地市场公开进行；符合国家《划拨用地目录》的建设项目用地，报经市政府批准后以划拨方式供地；扩大有偿使用范围，积极探索地下空间和经营性基础设施用地有偿使用。</w:t>
      </w:r>
    </w:p>
    <w:p w:rsidR="00947AA5" w:rsidRDefault="004A27D9">
      <w:pPr>
        <w:spacing w:beforeLines="50" w:before="156" w:afterLines="50" w:after="156" w:line="560" w:lineRule="exact"/>
        <w:ind w:firstLineChars="200" w:firstLine="640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黑体" w:cs="Times New Roman"/>
          <w:bCs/>
          <w:sz w:val="32"/>
          <w:szCs w:val="32"/>
        </w:rPr>
        <w:t>五、保障措施</w:t>
      </w:r>
    </w:p>
    <w:p w:rsidR="00947AA5" w:rsidRDefault="004A27D9">
      <w:pPr>
        <w:spacing w:line="560" w:lineRule="exact"/>
        <w:ind w:firstLineChars="200" w:firstLine="643"/>
        <w:outlineLvl w:val="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楷体" w:cs="Times New Roman"/>
          <w:b/>
          <w:sz w:val="32"/>
          <w:szCs w:val="32"/>
        </w:rPr>
        <w:t>（一）严格执行供应计划</w:t>
      </w:r>
    </w:p>
    <w:p w:rsidR="00947AA5" w:rsidRDefault="004A27D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国有建设用地供应计划发布实施后，各区、县（市）要严格执行，合理安排供地时序和规模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其中住宅用地供应计划执行率应达到100%以上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947AA5" w:rsidRDefault="004A27D9">
      <w:pPr>
        <w:spacing w:line="560" w:lineRule="exact"/>
        <w:ind w:firstLineChars="200" w:firstLine="643"/>
        <w:outlineLvl w:val="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楷体" w:cs="Times New Roman"/>
          <w:b/>
          <w:sz w:val="32"/>
          <w:szCs w:val="32"/>
        </w:rPr>
        <w:t>（二）经营性用地统一组织出让</w:t>
      </w:r>
    </w:p>
    <w:p w:rsidR="00947AA5" w:rsidRDefault="004A27D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辽中区、</w:t>
      </w:r>
      <w:r>
        <w:rPr>
          <w:rFonts w:ascii="Times New Roman" w:eastAsia="仿宋_GB2312" w:hAnsi="Times New Roman" w:cs="Times New Roman"/>
          <w:sz w:val="32"/>
          <w:szCs w:val="32"/>
        </w:rPr>
        <w:t>康平县、法库县和新民市自行组织市场供地外，其他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>
        <w:rPr>
          <w:rFonts w:ascii="Times New Roman" w:eastAsia="仿宋_GB2312" w:hAnsi="Times New Roman" w:cs="Times New Roman"/>
          <w:sz w:val="32"/>
          <w:szCs w:val="32"/>
        </w:rPr>
        <w:t>区供应商业、经营性商品住宅、工业等建设项目用地，必须统一在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市</w:t>
      </w:r>
      <w:r>
        <w:rPr>
          <w:rFonts w:ascii="Times New Roman" w:eastAsia="仿宋_GB2312" w:hAnsi="Times New Roman" w:cs="Times New Roman"/>
          <w:sz w:val="32"/>
          <w:szCs w:val="32"/>
        </w:rPr>
        <w:t>土地交易市场进行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，住宅用地实行集中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出让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47AA5" w:rsidRDefault="004A27D9">
      <w:pPr>
        <w:spacing w:line="560" w:lineRule="exact"/>
        <w:ind w:firstLineChars="200" w:firstLine="643"/>
        <w:outlineLvl w:val="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楷体" w:cs="Times New Roman"/>
          <w:b/>
          <w:sz w:val="32"/>
          <w:szCs w:val="32"/>
        </w:rPr>
        <w:t>（三）保障性住房用地做到应保尽保</w:t>
      </w:r>
    </w:p>
    <w:p w:rsidR="00947AA5" w:rsidRDefault="004A27D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对保障性住宅用地计划供应数量将根据房产、建设等部门实施情况及时调整，确保此类项目用地足额供应。</w:t>
      </w:r>
    </w:p>
    <w:p w:rsidR="00947AA5" w:rsidRDefault="004A27D9">
      <w:pPr>
        <w:spacing w:line="560" w:lineRule="exact"/>
        <w:ind w:firstLineChars="200" w:firstLine="643"/>
        <w:outlineLvl w:val="0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楷体" w:cs="Times New Roman"/>
          <w:b/>
          <w:sz w:val="32"/>
          <w:szCs w:val="32"/>
        </w:rPr>
        <w:t>（四）加强供地项目的规划审查管理</w:t>
      </w:r>
    </w:p>
    <w:p w:rsidR="00947AA5" w:rsidRDefault="004A27D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各区、县（市）</w:t>
      </w:r>
      <w:r>
        <w:rPr>
          <w:rFonts w:ascii="Times New Roman" w:eastAsia="仿宋_GB2312" w:hAnsi="Times New Roman" w:cs="Times New Roman"/>
          <w:sz w:val="32"/>
          <w:szCs w:val="32"/>
        </w:rPr>
        <w:t>确定的供地项目（含招商项目）事先必须按规定权限进行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国土空间</w:t>
      </w:r>
      <w:r>
        <w:rPr>
          <w:rFonts w:ascii="Times New Roman" w:eastAsia="仿宋_GB2312" w:hAnsi="Times New Roman" w:cs="Times New Roman"/>
          <w:sz w:val="32"/>
          <w:szCs w:val="32"/>
        </w:rPr>
        <w:t>规划的报审，凡不符合规划的地块不得对外供应。同时要本着集约和节约用地的原则，科学合理用地。对长期不进行开发建设的土地，将收回另行供地，充分提高土地利用效率和效益。</w:t>
      </w:r>
    </w:p>
    <w:p w:rsidR="00947AA5" w:rsidRDefault="004A27D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本计划自公布之日起执行。</w:t>
      </w:r>
    </w:p>
    <w:p w:rsidR="00947AA5" w:rsidRDefault="00947AA5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947AA5" w:rsidRDefault="00947AA5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947AA5" w:rsidRDefault="004A27D9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/>
      </w:r>
      <w:bookmarkStart w:id="0" w:name="_GoBack"/>
      <w:bookmarkEnd w:id="0"/>
    </w:p>
    <w:p w:rsidR="00947AA5" w:rsidRDefault="00947AA5">
      <w:pPr>
        <w:spacing w:line="560" w:lineRule="exact"/>
        <w:rPr>
          <w:rFonts w:ascii="Times New Roman" w:hAnsi="Times New Roman" w:cs="Times New Roman"/>
          <w:sz w:val="32"/>
          <w:szCs w:val="32"/>
        </w:rPr>
        <w:sectPr w:rsidR="00947AA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947AA5" w:rsidRDefault="004A27D9">
      <w:pPr>
        <w:widowControl/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lastRenderedPageBreak/>
        <w:t>沈阳市2022年度国有建设用地计划供应表</w:t>
      </w:r>
    </w:p>
    <w:p w:rsidR="00947AA5" w:rsidRDefault="004A27D9">
      <w:pPr>
        <w:spacing w:line="560" w:lineRule="exact"/>
        <w:jc w:val="right"/>
        <w:rPr>
          <w:rFonts w:ascii="宋体" w:hAnsi="宋体" w:cs="Times New Roman"/>
          <w:sz w:val="32"/>
          <w:szCs w:val="32"/>
        </w:rPr>
      </w:pPr>
      <w:r>
        <w:rPr>
          <w:rFonts w:ascii="宋体" w:hAnsi="宋体" w:cs="Times New Roman"/>
          <w:sz w:val="18"/>
          <w:szCs w:val="18"/>
        </w:rPr>
        <w:t>单位：公顷</w:t>
      </w:r>
    </w:p>
    <w:tbl>
      <w:tblPr>
        <w:tblW w:w="15517" w:type="dxa"/>
        <w:tblLayout w:type="fixed"/>
        <w:tblLook w:val="04A0" w:firstRow="1" w:lastRow="0" w:firstColumn="1" w:lastColumn="0" w:noHBand="0" w:noVBand="1"/>
      </w:tblPr>
      <w:tblGrid>
        <w:gridCol w:w="1241"/>
        <w:gridCol w:w="850"/>
        <w:gridCol w:w="1027"/>
        <w:gridCol w:w="1036"/>
        <w:gridCol w:w="1022"/>
        <w:gridCol w:w="1021"/>
        <w:gridCol w:w="1050"/>
        <w:gridCol w:w="1022"/>
        <w:gridCol w:w="1036"/>
        <w:gridCol w:w="1050"/>
        <w:gridCol w:w="1026"/>
        <w:gridCol w:w="1035"/>
        <w:gridCol w:w="1034"/>
        <w:gridCol w:w="1034"/>
        <w:gridCol w:w="1033"/>
      </w:tblGrid>
      <w:tr w:rsidR="00947AA5">
        <w:trPr>
          <w:cantSplit/>
          <w:trHeight w:val="409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47AA5" w:rsidRDefault="00947AA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:rsidR="00947AA5" w:rsidRDefault="004A27D9">
            <w:pPr>
              <w:widowControl/>
              <w:ind w:firstLineChars="328" w:firstLine="59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用途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br/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县区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商服用地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工矿仓储用地</w:t>
            </w:r>
          </w:p>
        </w:tc>
        <w:tc>
          <w:tcPr>
            <w:tcW w:w="7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住宅用地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交通运输用地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水域及水利设施用地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特殊用地</w:t>
            </w:r>
          </w:p>
        </w:tc>
      </w:tr>
      <w:tr w:rsidR="00947AA5">
        <w:trPr>
          <w:cantSplit/>
          <w:trHeight w:val="409"/>
        </w:trPr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47AA5" w:rsidRDefault="00947AA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小计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int="eastAsia"/>
                <w:sz w:val="18"/>
                <w:szCs w:val="18"/>
              </w:rPr>
              <w:t>公租房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rPr>
                <w:rFonts w:asci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cs="Times New Roman"/>
                <w:sz w:val="18"/>
                <w:szCs w:val="18"/>
              </w:rPr>
              <w:t>廉</w:t>
            </w:r>
            <w:proofErr w:type="gramEnd"/>
            <w:r>
              <w:rPr>
                <w:rFonts w:ascii="Times New Roman" w:cs="Times New Roman"/>
                <w:sz w:val="18"/>
                <w:szCs w:val="18"/>
              </w:rPr>
              <w:t>租房</w:t>
            </w:r>
          </w:p>
          <w:p w:rsidR="00947AA5" w:rsidRDefault="004A27D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用地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经济适用住房用地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棚改房用地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 w:hint="eastAsia"/>
                <w:sz w:val="18"/>
                <w:szCs w:val="18"/>
              </w:rPr>
              <w:t>中小套型</w:t>
            </w:r>
            <w:r>
              <w:rPr>
                <w:rFonts w:ascii="Times New Roman" w:cs="Times New Roman"/>
                <w:sz w:val="18"/>
                <w:szCs w:val="18"/>
              </w:rPr>
              <w:t>普通商品</w:t>
            </w:r>
            <w:r>
              <w:rPr>
                <w:rFonts w:ascii="Times New Roman" w:cs="Times New Roman" w:hint="eastAsia"/>
                <w:sz w:val="18"/>
                <w:szCs w:val="18"/>
              </w:rPr>
              <w:t>住</w:t>
            </w:r>
            <w:r>
              <w:rPr>
                <w:rFonts w:ascii="Times New Roman" w:cs="Times New Roman"/>
                <w:sz w:val="18"/>
                <w:szCs w:val="18"/>
              </w:rPr>
              <w:t>房用地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其他</w:t>
            </w: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947AA5">
        <w:trPr>
          <w:cantSplit/>
          <w:trHeight w:val="409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cs="Times New Roman"/>
                <w:b/>
                <w:sz w:val="18"/>
                <w:szCs w:val="18"/>
              </w:rPr>
              <w:t>沈阳市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2770.0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72.1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531.3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483.9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483.9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474.7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951.3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10.6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246.1 </w:t>
            </w:r>
          </w:p>
        </w:tc>
      </w:tr>
      <w:tr w:rsidR="00947AA5">
        <w:trPr>
          <w:cantSplit/>
          <w:trHeight w:val="409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市区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2442.0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65.3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387.6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463.2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463.2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440.5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905.6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4.4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175.4 </w:t>
            </w:r>
          </w:p>
        </w:tc>
      </w:tr>
      <w:tr w:rsidR="00947AA5">
        <w:trPr>
          <w:cantSplit/>
          <w:trHeight w:val="409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和平区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141.8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3.0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0.4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27.0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27.0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7.1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104.3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</w:tr>
      <w:tr w:rsidR="00947AA5">
        <w:trPr>
          <w:cantSplit/>
          <w:trHeight w:val="409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沈河区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64.3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2.5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22.5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22.5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2.0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37.3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</w:tr>
      <w:tr w:rsidR="00947AA5">
        <w:trPr>
          <w:cantSplit/>
          <w:trHeight w:val="409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大东区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333.4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4.5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50.0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40.5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40.5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119.7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118.7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</w:tr>
      <w:tr w:rsidR="00947AA5">
        <w:trPr>
          <w:cantSplit/>
          <w:trHeight w:val="409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皇姑区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110.9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6.0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54.0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54.0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50.9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</w:tr>
      <w:tr w:rsidR="00947AA5">
        <w:trPr>
          <w:cantSplit/>
          <w:trHeight w:val="409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铁西区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376.1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6.5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76.8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58.5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58.5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3.8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220.8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1.9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7.8 </w:t>
            </w:r>
          </w:p>
        </w:tc>
      </w:tr>
      <w:tr w:rsidR="00947AA5">
        <w:trPr>
          <w:cantSplit/>
          <w:trHeight w:val="409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苏家屯区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113.8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5.5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12.3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49.5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49.5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13.4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32.1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1.0 </w:t>
            </w:r>
          </w:p>
        </w:tc>
      </w:tr>
      <w:tr w:rsidR="00947AA5">
        <w:trPr>
          <w:cantSplit/>
          <w:trHeight w:val="409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浑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南区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456.2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8.0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139.8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72.0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72.0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51.3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125.1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60.0 </w:t>
            </w:r>
          </w:p>
        </w:tc>
      </w:tr>
      <w:tr w:rsidR="00947AA5">
        <w:trPr>
          <w:cantSplit/>
          <w:trHeight w:val="409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沈北新区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206.3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5.0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34.9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45.0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45.0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86.7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0.9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33.8 </w:t>
            </w:r>
          </w:p>
        </w:tc>
      </w:tr>
      <w:tr w:rsidR="00947AA5">
        <w:trPr>
          <w:cantSplit/>
          <w:trHeight w:val="409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于洪区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366.8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9.0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26.8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81.0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81.0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143.2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103.8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3.0 </w:t>
            </w:r>
          </w:p>
        </w:tc>
      </w:tr>
      <w:tr w:rsidR="00947AA5">
        <w:trPr>
          <w:cantSplit/>
          <w:trHeight w:val="409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辽中区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272.4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15.3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46.6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13.2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13.2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13.3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111.7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2.5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69.8 </w:t>
            </w:r>
          </w:p>
        </w:tc>
      </w:tr>
      <w:tr w:rsidR="00947AA5">
        <w:trPr>
          <w:cantSplit/>
          <w:trHeight w:val="409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县市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328.0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6.8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143.7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20.7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20.7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34.2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45.7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6.2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70.7 </w:t>
            </w:r>
          </w:p>
        </w:tc>
      </w:tr>
      <w:tr w:rsidR="00947AA5">
        <w:trPr>
          <w:cantSplit/>
          <w:trHeight w:val="409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康平县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77.0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36.5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3.4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3.4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7.3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16.8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5.6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7.4 </w:t>
            </w:r>
          </w:p>
        </w:tc>
      </w:tr>
      <w:tr w:rsidR="00947AA5">
        <w:trPr>
          <w:cantSplit/>
          <w:trHeight w:val="409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法库县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104.8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4.7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27.2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7.3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7.3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8.6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28.9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0.6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27.5 </w:t>
            </w:r>
          </w:p>
        </w:tc>
      </w:tr>
      <w:tr w:rsidR="00947AA5">
        <w:trPr>
          <w:cantSplit/>
          <w:trHeight w:val="409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新民市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146.2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2.1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80.0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10.0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10.0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947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18.3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AA5" w:rsidRDefault="004A2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35.8 </w:t>
            </w:r>
          </w:p>
        </w:tc>
      </w:tr>
    </w:tbl>
    <w:p w:rsidR="00947AA5" w:rsidRDefault="004A27D9">
      <w:pPr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注：</w:t>
      </w:r>
      <w:r>
        <w:rPr>
          <w:rFonts w:ascii="Times New Roman" w:hAnsi="Times New Roman" w:cs="Times New Roman" w:hint="eastAsia"/>
          <w:sz w:val="22"/>
        </w:rPr>
        <w:t>沈飞机场搬迁用地、东部旅游大道建设工程、四环快速路立交化和智慧化建设工程、沈阳桃仙国际机场第二跑道建设工程项目、胜利大街快速路（南三环至南四环段）、沈白高铁、北沙河防洪及生态治理工程、养息</w:t>
      </w:r>
      <w:proofErr w:type="gramStart"/>
      <w:r>
        <w:rPr>
          <w:rFonts w:ascii="Times New Roman" w:hAnsi="Times New Roman" w:cs="Times New Roman" w:hint="eastAsia"/>
          <w:sz w:val="22"/>
        </w:rPr>
        <w:t>牧河新民市段</w:t>
      </w:r>
      <w:proofErr w:type="gramEnd"/>
      <w:r>
        <w:rPr>
          <w:rFonts w:ascii="Times New Roman" w:hAnsi="Times New Roman" w:cs="Times New Roman" w:hint="eastAsia"/>
          <w:sz w:val="22"/>
        </w:rPr>
        <w:t>河道治理工程、秀水河新民市防洪治理工程共</w:t>
      </w:r>
      <w:r>
        <w:rPr>
          <w:rFonts w:ascii="Times New Roman" w:hAnsi="Times New Roman" w:cs="Times New Roman"/>
          <w:sz w:val="22"/>
        </w:rPr>
        <w:t>205</w:t>
      </w:r>
      <w:r>
        <w:rPr>
          <w:rFonts w:ascii="Times New Roman" w:hAnsi="Times New Roman" w:cs="Times New Roman" w:hint="eastAsia"/>
          <w:sz w:val="22"/>
        </w:rPr>
        <w:t>8.4</w:t>
      </w:r>
      <w:r>
        <w:rPr>
          <w:rFonts w:ascii="Times New Roman" w:hAnsi="Times New Roman" w:cs="Times New Roman" w:hint="eastAsia"/>
          <w:sz w:val="22"/>
        </w:rPr>
        <w:t>公顷</w:t>
      </w:r>
      <w:r>
        <w:rPr>
          <w:rFonts w:ascii="Times New Roman" w:hAnsi="Times New Roman" w:cs="Times New Roman" w:hint="eastAsia"/>
          <w:sz w:val="22"/>
        </w:rPr>
        <w:t>,</w:t>
      </w:r>
      <w:r>
        <w:rPr>
          <w:rFonts w:ascii="Times New Roman" w:hAnsi="Times New Roman" w:cs="Times New Roman" w:hint="eastAsia"/>
          <w:sz w:val="22"/>
        </w:rPr>
        <w:t>列为浮动计划。如以上项目今年申请供地</w:t>
      </w:r>
      <w:r>
        <w:rPr>
          <w:rFonts w:ascii="Times New Roman" w:hAnsi="Times New Roman" w:cs="Times New Roman" w:hint="eastAsia"/>
          <w:sz w:val="22"/>
        </w:rPr>
        <w:t>,</w:t>
      </w:r>
      <w:r>
        <w:rPr>
          <w:rFonts w:ascii="Times New Roman" w:hAnsi="Times New Roman" w:cs="Times New Roman" w:hint="eastAsia"/>
          <w:sz w:val="22"/>
        </w:rPr>
        <w:t>本年度供应计划相应浮动。</w:t>
      </w:r>
    </w:p>
    <w:p w:rsidR="00947AA5" w:rsidRDefault="00947AA5">
      <w:pPr>
        <w:spacing w:line="560" w:lineRule="exact"/>
        <w:jc w:val="center"/>
        <w:rPr>
          <w:rFonts w:ascii="Times New Roman" w:hAnsi="Times New Roman" w:cs="Times New Roman"/>
          <w:sz w:val="22"/>
        </w:rPr>
      </w:pPr>
    </w:p>
    <w:sectPr w:rsidR="00947AA5">
      <w:pgSz w:w="16838" w:h="11906" w:orient="landscape"/>
      <w:pgMar w:top="720" w:right="720" w:bottom="720" w:left="720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程铭">
    <w15:presenceInfo w15:providerId="None" w15:userId="程铭"/>
  </w15:person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B3"/>
    <w:rsid w:val="00000CA4"/>
    <w:rsid w:val="00006EB6"/>
    <w:rsid w:val="000173B9"/>
    <w:rsid w:val="000222F2"/>
    <w:rsid w:val="0005387F"/>
    <w:rsid w:val="00054776"/>
    <w:rsid w:val="000566D1"/>
    <w:rsid w:val="00057007"/>
    <w:rsid w:val="00061666"/>
    <w:rsid w:val="00066029"/>
    <w:rsid w:val="00073EC5"/>
    <w:rsid w:val="00085932"/>
    <w:rsid w:val="0009746B"/>
    <w:rsid w:val="000A0BA5"/>
    <w:rsid w:val="000B7C30"/>
    <w:rsid w:val="000C0747"/>
    <w:rsid w:val="000E4E50"/>
    <w:rsid w:val="000F644F"/>
    <w:rsid w:val="000F6CDA"/>
    <w:rsid w:val="001256A5"/>
    <w:rsid w:val="00132D34"/>
    <w:rsid w:val="001408F9"/>
    <w:rsid w:val="00141547"/>
    <w:rsid w:val="0014494D"/>
    <w:rsid w:val="0014506D"/>
    <w:rsid w:val="00146555"/>
    <w:rsid w:val="00177230"/>
    <w:rsid w:val="00185263"/>
    <w:rsid w:val="0019161D"/>
    <w:rsid w:val="001A56ED"/>
    <w:rsid w:val="001B12FF"/>
    <w:rsid w:val="001B2983"/>
    <w:rsid w:val="001C4074"/>
    <w:rsid w:val="001F4A4B"/>
    <w:rsid w:val="001F5380"/>
    <w:rsid w:val="001F7FD7"/>
    <w:rsid w:val="00204A99"/>
    <w:rsid w:val="0020705B"/>
    <w:rsid w:val="00221732"/>
    <w:rsid w:val="00224885"/>
    <w:rsid w:val="0023009C"/>
    <w:rsid w:val="002336FD"/>
    <w:rsid w:val="00235276"/>
    <w:rsid w:val="0024124C"/>
    <w:rsid w:val="002433EE"/>
    <w:rsid w:val="0024399D"/>
    <w:rsid w:val="00256B0D"/>
    <w:rsid w:val="002715D6"/>
    <w:rsid w:val="00271CD5"/>
    <w:rsid w:val="0028369E"/>
    <w:rsid w:val="002848FF"/>
    <w:rsid w:val="00292640"/>
    <w:rsid w:val="00296C3B"/>
    <w:rsid w:val="002A49E4"/>
    <w:rsid w:val="002B63DA"/>
    <w:rsid w:val="002C1C82"/>
    <w:rsid w:val="002D3F9C"/>
    <w:rsid w:val="002E22FD"/>
    <w:rsid w:val="002F0A85"/>
    <w:rsid w:val="002F1B99"/>
    <w:rsid w:val="003075BC"/>
    <w:rsid w:val="00311C46"/>
    <w:rsid w:val="00331F0F"/>
    <w:rsid w:val="00332742"/>
    <w:rsid w:val="00334DC1"/>
    <w:rsid w:val="003569B3"/>
    <w:rsid w:val="00361A3D"/>
    <w:rsid w:val="00364CDA"/>
    <w:rsid w:val="00373386"/>
    <w:rsid w:val="00391CEB"/>
    <w:rsid w:val="00394749"/>
    <w:rsid w:val="00395275"/>
    <w:rsid w:val="003A1A5D"/>
    <w:rsid w:val="003A5F1D"/>
    <w:rsid w:val="003B143E"/>
    <w:rsid w:val="003C28A5"/>
    <w:rsid w:val="003C38CA"/>
    <w:rsid w:val="003C40CF"/>
    <w:rsid w:val="003D4BD8"/>
    <w:rsid w:val="003F2882"/>
    <w:rsid w:val="003F3399"/>
    <w:rsid w:val="003F4373"/>
    <w:rsid w:val="003F4667"/>
    <w:rsid w:val="003F6966"/>
    <w:rsid w:val="003F7D0A"/>
    <w:rsid w:val="00400ACB"/>
    <w:rsid w:val="004122AE"/>
    <w:rsid w:val="00424E39"/>
    <w:rsid w:val="00430631"/>
    <w:rsid w:val="00433C1D"/>
    <w:rsid w:val="00434BD0"/>
    <w:rsid w:val="004563FA"/>
    <w:rsid w:val="0046133B"/>
    <w:rsid w:val="00467E1F"/>
    <w:rsid w:val="004743E2"/>
    <w:rsid w:val="004777C9"/>
    <w:rsid w:val="00491FC2"/>
    <w:rsid w:val="00495DE8"/>
    <w:rsid w:val="004A27D9"/>
    <w:rsid w:val="004A297C"/>
    <w:rsid w:val="004A65E0"/>
    <w:rsid w:val="004B25CE"/>
    <w:rsid w:val="004B5DAD"/>
    <w:rsid w:val="004B6DB8"/>
    <w:rsid w:val="004F5773"/>
    <w:rsid w:val="00500CE0"/>
    <w:rsid w:val="00500D15"/>
    <w:rsid w:val="00502964"/>
    <w:rsid w:val="00502EF7"/>
    <w:rsid w:val="00516F45"/>
    <w:rsid w:val="005241B5"/>
    <w:rsid w:val="00531E64"/>
    <w:rsid w:val="00563248"/>
    <w:rsid w:val="005842DE"/>
    <w:rsid w:val="0058517C"/>
    <w:rsid w:val="00586A3B"/>
    <w:rsid w:val="00591D78"/>
    <w:rsid w:val="005A2795"/>
    <w:rsid w:val="005B0DA4"/>
    <w:rsid w:val="005B314C"/>
    <w:rsid w:val="005C0079"/>
    <w:rsid w:val="005D37B9"/>
    <w:rsid w:val="005D47B1"/>
    <w:rsid w:val="005E6F2D"/>
    <w:rsid w:val="005F4113"/>
    <w:rsid w:val="005F5FA2"/>
    <w:rsid w:val="00604BB7"/>
    <w:rsid w:val="006064A4"/>
    <w:rsid w:val="00615861"/>
    <w:rsid w:val="00620784"/>
    <w:rsid w:val="00621890"/>
    <w:rsid w:val="006345AD"/>
    <w:rsid w:val="00634908"/>
    <w:rsid w:val="00643208"/>
    <w:rsid w:val="00645AF3"/>
    <w:rsid w:val="00653D80"/>
    <w:rsid w:val="00682F33"/>
    <w:rsid w:val="00687C15"/>
    <w:rsid w:val="006C0887"/>
    <w:rsid w:val="006C3758"/>
    <w:rsid w:val="006C5375"/>
    <w:rsid w:val="006D0DF8"/>
    <w:rsid w:val="006D3090"/>
    <w:rsid w:val="00713FB3"/>
    <w:rsid w:val="007167D7"/>
    <w:rsid w:val="00721D04"/>
    <w:rsid w:val="007232B3"/>
    <w:rsid w:val="00727CB6"/>
    <w:rsid w:val="00732C14"/>
    <w:rsid w:val="00757D83"/>
    <w:rsid w:val="00761077"/>
    <w:rsid w:val="00766AB1"/>
    <w:rsid w:val="00777E94"/>
    <w:rsid w:val="00780776"/>
    <w:rsid w:val="0078128F"/>
    <w:rsid w:val="00781F6B"/>
    <w:rsid w:val="007823F2"/>
    <w:rsid w:val="00787090"/>
    <w:rsid w:val="007A4072"/>
    <w:rsid w:val="007B5E1E"/>
    <w:rsid w:val="007E33EC"/>
    <w:rsid w:val="007E7B4F"/>
    <w:rsid w:val="007F1C18"/>
    <w:rsid w:val="007F1D60"/>
    <w:rsid w:val="007F48FB"/>
    <w:rsid w:val="007F4C68"/>
    <w:rsid w:val="00801EC2"/>
    <w:rsid w:val="008111C7"/>
    <w:rsid w:val="00822767"/>
    <w:rsid w:val="00831808"/>
    <w:rsid w:val="008454DA"/>
    <w:rsid w:val="00847F26"/>
    <w:rsid w:val="008764E9"/>
    <w:rsid w:val="00880FD3"/>
    <w:rsid w:val="0088162E"/>
    <w:rsid w:val="00881CE4"/>
    <w:rsid w:val="0088384D"/>
    <w:rsid w:val="008846B0"/>
    <w:rsid w:val="00884BFC"/>
    <w:rsid w:val="00893CFA"/>
    <w:rsid w:val="0089536C"/>
    <w:rsid w:val="008A4CFC"/>
    <w:rsid w:val="008C4E3F"/>
    <w:rsid w:val="008C5AFD"/>
    <w:rsid w:val="008D28CF"/>
    <w:rsid w:val="008D2A11"/>
    <w:rsid w:val="008F2258"/>
    <w:rsid w:val="008F66C5"/>
    <w:rsid w:val="00900347"/>
    <w:rsid w:val="00913671"/>
    <w:rsid w:val="0092178B"/>
    <w:rsid w:val="00931C34"/>
    <w:rsid w:val="009337DA"/>
    <w:rsid w:val="0093650C"/>
    <w:rsid w:val="00947AA5"/>
    <w:rsid w:val="00950630"/>
    <w:rsid w:val="0097208F"/>
    <w:rsid w:val="00975039"/>
    <w:rsid w:val="00980916"/>
    <w:rsid w:val="0098093F"/>
    <w:rsid w:val="00990DA1"/>
    <w:rsid w:val="00991E3A"/>
    <w:rsid w:val="00992A30"/>
    <w:rsid w:val="0099507A"/>
    <w:rsid w:val="009A035B"/>
    <w:rsid w:val="009A03AB"/>
    <w:rsid w:val="009A0989"/>
    <w:rsid w:val="009B77B4"/>
    <w:rsid w:val="009C6779"/>
    <w:rsid w:val="009C7FE6"/>
    <w:rsid w:val="009D5868"/>
    <w:rsid w:val="009F02F9"/>
    <w:rsid w:val="009F5FB8"/>
    <w:rsid w:val="00A00456"/>
    <w:rsid w:val="00A02255"/>
    <w:rsid w:val="00A35B1D"/>
    <w:rsid w:val="00A3719F"/>
    <w:rsid w:val="00A4161C"/>
    <w:rsid w:val="00A54721"/>
    <w:rsid w:val="00A6463F"/>
    <w:rsid w:val="00A717B2"/>
    <w:rsid w:val="00A8283B"/>
    <w:rsid w:val="00A959D1"/>
    <w:rsid w:val="00AA4B1A"/>
    <w:rsid w:val="00AA7B16"/>
    <w:rsid w:val="00AB216B"/>
    <w:rsid w:val="00AB7F4C"/>
    <w:rsid w:val="00AC3607"/>
    <w:rsid w:val="00AC4940"/>
    <w:rsid w:val="00AD2E31"/>
    <w:rsid w:val="00AE4AA0"/>
    <w:rsid w:val="00AE670B"/>
    <w:rsid w:val="00AF5CCB"/>
    <w:rsid w:val="00B02301"/>
    <w:rsid w:val="00B06655"/>
    <w:rsid w:val="00B4569B"/>
    <w:rsid w:val="00B52993"/>
    <w:rsid w:val="00B53326"/>
    <w:rsid w:val="00B54ECD"/>
    <w:rsid w:val="00B564FD"/>
    <w:rsid w:val="00B6750B"/>
    <w:rsid w:val="00B819A1"/>
    <w:rsid w:val="00B86D51"/>
    <w:rsid w:val="00B94E68"/>
    <w:rsid w:val="00B94F9E"/>
    <w:rsid w:val="00B95FA9"/>
    <w:rsid w:val="00BA6615"/>
    <w:rsid w:val="00BA699B"/>
    <w:rsid w:val="00BB3482"/>
    <w:rsid w:val="00BC1DB5"/>
    <w:rsid w:val="00BC3C4E"/>
    <w:rsid w:val="00BD612F"/>
    <w:rsid w:val="00BD779F"/>
    <w:rsid w:val="00BE7E2A"/>
    <w:rsid w:val="00BF71C6"/>
    <w:rsid w:val="00C37603"/>
    <w:rsid w:val="00C417E3"/>
    <w:rsid w:val="00C449E9"/>
    <w:rsid w:val="00C568D5"/>
    <w:rsid w:val="00C6026F"/>
    <w:rsid w:val="00C61DAE"/>
    <w:rsid w:val="00C8269F"/>
    <w:rsid w:val="00C83668"/>
    <w:rsid w:val="00C84FEA"/>
    <w:rsid w:val="00C9482A"/>
    <w:rsid w:val="00CA040F"/>
    <w:rsid w:val="00CA783F"/>
    <w:rsid w:val="00CB3650"/>
    <w:rsid w:val="00CC0790"/>
    <w:rsid w:val="00CE1E48"/>
    <w:rsid w:val="00CE2900"/>
    <w:rsid w:val="00CE5DD6"/>
    <w:rsid w:val="00CE7F1D"/>
    <w:rsid w:val="00CF1F47"/>
    <w:rsid w:val="00D03A2C"/>
    <w:rsid w:val="00D04599"/>
    <w:rsid w:val="00D0500E"/>
    <w:rsid w:val="00D14578"/>
    <w:rsid w:val="00D157E9"/>
    <w:rsid w:val="00D34789"/>
    <w:rsid w:val="00D36916"/>
    <w:rsid w:val="00D439DD"/>
    <w:rsid w:val="00D43B06"/>
    <w:rsid w:val="00D455A7"/>
    <w:rsid w:val="00D47488"/>
    <w:rsid w:val="00D57231"/>
    <w:rsid w:val="00D80C10"/>
    <w:rsid w:val="00D813D6"/>
    <w:rsid w:val="00D84EFB"/>
    <w:rsid w:val="00D86796"/>
    <w:rsid w:val="00D95700"/>
    <w:rsid w:val="00D96787"/>
    <w:rsid w:val="00DA6091"/>
    <w:rsid w:val="00DA660F"/>
    <w:rsid w:val="00DB366A"/>
    <w:rsid w:val="00DD068C"/>
    <w:rsid w:val="00DD304F"/>
    <w:rsid w:val="00DD3A45"/>
    <w:rsid w:val="00E02A6C"/>
    <w:rsid w:val="00E144C2"/>
    <w:rsid w:val="00E3759D"/>
    <w:rsid w:val="00E455EF"/>
    <w:rsid w:val="00E47633"/>
    <w:rsid w:val="00E50760"/>
    <w:rsid w:val="00E5249A"/>
    <w:rsid w:val="00E54D18"/>
    <w:rsid w:val="00E62B4A"/>
    <w:rsid w:val="00E774DF"/>
    <w:rsid w:val="00E819E3"/>
    <w:rsid w:val="00E91FFE"/>
    <w:rsid w:val="00E93F2C"/>
    <w:rsid w:val="00EA2C2F"/>
    <w:rsid w:val="00EA3806"/>
    <w:rsid w:val="00EB35BD"/>
    <w:rsid w:val="00EB4103"/>
    <w:rsid w:val="00EF589C"/>
    <w:rsid w:val="00F10B5C"/>
    <w:rsid w:val="00F1401B"/>
    <w:rsid w:val="00F25472"/>
    <w:rsid w:val="00F36ED0"/>
    <w:rsid w:val="00F46031"/>
    <w:rsid w:val="00F478BA"/>
    <w:rsid w:val="00F515B9"/>
    <w:rsid w:val="00F52D0C"/>
    <w:rsid w:val="00F56C00"/>
    <w:rsid w:val="00F65EB8"/>
    <w:rsid w:val="00F71B19"/>
    <w:rsid w:val="00F802BF"/>
    <w:rsid w:val="00F81109"/>
    <w:rsid w:val="00F81F51"/>
    <w:rsid w:val="00F92325"/>
    <w:rsid w:val="00F948C0"/>
    <w:rsid w:val="00FA1411"/>
    <w:rsid w:val="00FA2667"/>
    <w:rsid w:val="00FB35BD"/>
    <w:rsid w:val="00FB4755"/>
    <w:rsid w:val="00FC4426"/>
    <w:rsid w:val="00FD4764"/>
    <w:rsid w:val="00FE611C"/>
    <w:rsid w:val="00FE7408"/>
    <w:rsid w:val="28DC6898"/>
    <w:rsid w:val="30D41EAC"/>
    <w:rsid w:val="322447B0"/>
    <w:rsid w:val="34073B62"/>
    <w:rsid w:val="377132ED"/>
    <w:rsid w:val="37930C3B"/>
    <w:rsid w:val="39F5796F"/>
    <w:rsid w:val="3A29797A"/>
    <w:rsid w:val="3D0B54B4"/>
    <w:rsid w:val="53376114"/>
    <w:rsid w:val="545161B7"/>
    <w:rsid w:val="563C6DA6"/>
    <w:rsid w:val="591B7017"/>
    <w:rsid w:val="59FC0600"/>
    <w:rsid w:val="5FBE17B6"/>
    <w:rsid w:val="6A680BA0"/>
    <w:rsid w:val="6D400349"/>
    <w:rsid w:val="700C1760"/>
    <w:rsid w:val="71F57082"/>
    <w:rsid w:val="77691CEC"/>
    <w:rsid w:val="78FD0267"/>
    <w:rsid w:val="7AF244C2"/>
    <w:rsid w:val="7BBC5D95"/>
    <w:rsid w:val="7D3D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semiHidden="0" w:uiPriority="99" w:qFormat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annotation reference" w:semiHidden="0" w:uiPriority="99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Hyperlink" w:semiHidden="0" w:uiPriority="99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Document Map" w:uiPriority="99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pPr>
      <w:shd w:val="clear" w:color="auto" w:fill="000080"/>
    </w:pPr>
    <w:rPr>
      <w:rFonts w:ascii="Times New Roman" w:hAnsi="Times New Roman" w:cs="Times New Roman"/>
      <w:kern w:val="0"/>
      <w:sz w:val="16"/>
      <w:szCs w:val="16"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cs="Times New Roman"/>
    </w:rPr>
  </w:style>
  <w:style w:type="paragraph" w:styleId="a5">
    <w:name w:val="Balloon Text"/>
    <w:basedOn w:val="a"/>
    <w:link w:val="Char1"/>
    <w:uiPriority w:val="99"/>
    <w:qFormat/>
    <w:rPr>
      <w:rFonts w:ascii="Times New Roman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a8">
    <w:name w:val="annotation subject"/>
    <w:basedOn w:val="a4"/>
    <w:next w:val="a4"/>
    <w:link w:val="Char4"/>
    <w:uiPriority w:val="99"/>
    <w:unhideWhenUsed/>
    <w:qFormat/>
    <w:rPr>
      <w:b/>
      <w:bCs/>
    </w:rPr>
  </w:style>
  <w:style w:type="character" w:styleId="a9">
    <w:name w:val="Strong"/>
    <w:basedOn w:val="a0"/>
    <w:uiPriority w:val="22"/>
    <w:qFormat/>
    <w:locked/>
    <w:rPr>
      <w:b/>
      <w:bCs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character" w:styleId="ab">
    <w:name w:val="annotation reference"/>
    <w:uiPriority w:val="99"/>
    <w:unhideWhenUsed/>
    <w:qFormat/>
    <w:rPr>
      <w:sz w:val="21"/>
      <w:szCs w:val="21"/>
    </w:rPr>
  </w:style>
  <w:style w:type="paragraph" w:customStyle="1" w:styleId="1">
    <w:name w:val="修订1"/>
    <w:hidden/>
    <w:uiPriority w:val="99"/>
    <w:semiHidden/>
    <w:qFormat/>
    <w:rPr>
      <w:rFonts w:cs="黑体"/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2">
    <w:name w:val="页脚 Char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3">
    <w:name w:val="页眉 Char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文档结构图 Char"/>
    <w:link w:val="a3"/>
    <w:uiPriority w:val="99"/>
    <w:semiHidden/>
    <w:qFormat/>
    <w:rPr>
      <w:rFonts w:cs="黑体"/>
      <w:sz w:val="16"/>
      <w:szCs w:val="16"/>
    </w:rPr>
  </w:style>
  <w:style w:type="character" w:customStyle="1" w:styleId="Char0">
    <w:name w:val="批注文字 Char"/>
    <w:link w:val="a4"/>
    <w:uiPriority w:val="99"/>
    <w:semiHidden/>
    <w:qFormat/>
    <w:rPr>
      <w:rFonts w:ascii="Calibri" w:hAnsi="Calibri" w:cs="黑体"/>
      <w:kern w:val="2"/>
      <w:sz w:val="21"/>
      <w:szCs w:val="22"/>
    </w:rPr>
  </w:style>
  <w:style w:type="character" w:customStyle="1" w:styleId="Char4">
    <w:name w:val="批注主题 Char"/>
    <w:link w:val="a8"/>
    <w:uiPriority w:val="99"/>
    <w:semiHidden/>
    <w:qFormat/>
    <w:rPr>
      <w:rFonts w:ascii="Calibri" w:hAnsi="Calibri" w:cs="黑体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semiHidden="0" w:uiPriority="99" w:qFormat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annotation reference" w:semiHidden="0" w:uiPriority="99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Hyperlink" w:semiHidden="0" w:uiPriority="99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Document Map" w:uiPriority="99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qFormat/>
    <w:pPr>
      <w:shd w:val="clear" w:color="auto" w:fill="000080"/>
    </w:pPr>
    <w:rPr>
      <w:rFonts w:ascii="Times New Roman" w:hAnsi="Times New Roman" w:cs="Times New Roman"/>
      <w:kern w:val="0"/>
      <w:sz w:val="16"/>
      <w:szCs w:val="16"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cs="Times New Roman"/>
    </w:rPr>
  </w:style>
  <w:style w:type="paragraph" w:styleId="a5">
    <w:name w:val="Balloon Text"/>
    <w:basedOn w:val="a"/>
    <w:link w:val="Char1"/>
    <w:uiPriority w:val="99"/>
    <w:qFormat/>
    <w:rPr>
      <w:rFonts w:ascii="Times New Roman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a8">
    <w:name w:val="annotation subject"/>
    <w:basedOn w:val="a4"/>
    <w:next w:val="a4"/>
    <w:link w:val="Char4"/>
    <w:uiPriority w:val="99"/>
    <w:unhideWhenUsed/>
    <w:qFormat/>
    <w:rPr>
      <w:b/>
      <w:bCs/>
    </w:rPr>
  </w:style>
  <w:style w:type="character" w:styleId="a9">
    <w:name w:val="Strong"/>
    <w:basedOn w:val="a0"/>
    <w:uiPriority w:val="22"/>
    <w:qFormat/>
    <w:locked/>
    <w:rPr>
      <w:b/>
      <w:bCs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character" w:styleId="ab">
    <w:name w:val="annotation reference"/>
    <w:uiPriority w:val="99"/>
    <w:unhideWhenUsed/>
    <w:qFormat/>
    <w:rPr>
      <w:sz w:val="21"/>
      <w:szCs w:val="21"/>
    </w:rPr>
  </w:style>
  <w:style w:type="paragraph" w:customStyle="1" w:styleId="1">
    <w:name w:val="修订1"/>
    <w:hidden/>
    <w:uiPriority w:val="99"/>
    <w:semiHidden/>
    <w:qFormat/>
    <w:rPr>
      <w:rFonts w:cs="黑体"/>
      <w:kern w:val="2"/>
      <w:sz w:val="21"/>
      <w:szCs w:val="22"/>
    </w:rPr>
  </w:style>
  <w:style w:type="character" w:customStyle="1" w:styleId="Char1">
    <w:name w:val="批注框文本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2">
    <w:name w:val="页脚 Char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3">
    <w:name w:val="页眉 Char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文档结构图 Char"/>
    <w:link w:val="a3"/>
    <w:uiPriority w:val="99"/>
    <w:semiHidden/>
    <w:qFormat/>
    <w:rPr>
      <w:rFonts w:cs="黑体"/>
      <w:sz w:val="16"/>
      <w:szCs w:val="16"/>
    </w:rPr>
  </w:style>
  <w:style w:type="character" w:customStyle="1" w:styleId="Char0">
    <w:name w:val="批注文字 Char"/>
    <w:link w:val="a4"/>
    <w:uiPriority w:val="99"/>
    <w:semiHidden/>
    <w:qFormat/>
    <w:rPr>
      <w:rFonts w:ascii="Calibri" w:hAnsi="Calibri" w:cs="黑体"/>
      <w:kern w:val="2"/>
      <w:sz w:val="21"/>
      <w:szCs w:val="22"/>
    </w:rPr>
  </w:style>
  <w:style w:type="character" w:customStyle="1" w:styleId="Char4">
    <w:name w:val="批注主题 Char"/>
    <w:link w:val="a8"/>
    <w:uiPriority w:val="99"/>
    <w:semiHidden/>
    <w:qFormat/>
    <w:rPr>
      <w:rFonts w:ascii="Calibri" w:hAnsi="Calibri" w:cs="黑体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28C758-9D89-4899-925B-4B7AF912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552</Words>
  <Characters>3147</Characters>
  <Application>Microsoft Office Word</Application>
  <DocSecurity>0</DocSecurity>
  <Lines>26</Lines>
  <Paragraphs>7</Paragraphs>
  <ScaleCrop>false</ScaleCrop>
  <Company>Sky123.Org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沈阳市2015年度国有建设用地供应计划</dc:title>
  <dc:creator>Administrator</dc:creator>
  <cp:lastModifiedBy>潘洪嵩</cp:lastModifiedBy>
  <cp:revision>83</cp:revision>
  <cp:lastPrinted>2020-05-12T06:57:00Z</cp:lastPrinted>
  <dcterms:created xsi:type="dcterms:W3CDTF">2021-03-10T06:57:00Z</dcterms:created>
  <dcterms:modified xsi:type="dcterms:W3CDTF">2022-04-24T03:24:00Z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F4371BBBBF514F01A5145650E5B8E328</vt:lpwstr>
  </property>
</Properties>
</file>